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226F" w:rsidRDefault="001D226F">
      <w:pPr>
        <w:rPr>
          <w:rFonts w:ascii="Arial" w:hAnsi="Arial"/>
          <w:sz w:val="16"/>
        </w:rPr>
      </w:pPr>
    </w:p>
    <w:p w:rsidR="001D226F" w:rsidRDefault="001D226F">
      <w:pPr>
        <w:jc w:val="center"/>
        <w:rPr>
          <w:rFonts w:ascii="Arial" w:hAnsi="Arial"/>
          <w:sz w:val="28"/>
        </w:rPr>
      </w:pPr>
      <w:r>
        <w:rPr>
          <w:rFonts w:ascii="Arial" w:hAnsi="Arial"/>
          <w:sz w:val="28"/>
        </w:rPr>
        <w:t>Student Loan</w:t>
      </w:r>
    </w:p>
    <w:p w:rsidR="001D226F" w:rsidRDefault="001D226F">
      <w:pPr>
        <w:jc w:val="center"/>
        <w:rPr>
          <w:rFonts w:ascii="Arial" w:hAnsi="Arial"/>
          <w:sz w:val="16"/>
        </w:rPr>
      </w:pPr>
    </w:p>
    <w:p w:rsidR="001D226F" w:rsidRDefault="001D226F">
      <w:pPr>
        <w:jc w:val="center"/>
        <w:rPr>
          <w:rFonts w:ascii="Arial" w:hAnsi="Arial"/>
          <w:sz w:val="28"/>
        </w:rPr>
      </w:pPr>
      <w:r>
        <w:rPr>
          <w:rFonts w:ascii="Arial" w:hAnsi="Arial"/>
          <w:sz w:val="28"/>
        </w:rPr>
        <w:t>Borrowers Rights and Responsibilities</w:t>
      </w:r>
    </w:p>
    <w:p w:rsidR="001D226F" w:rsidRDefault="001D226F">
      <w:pPr>
        <w:jc w:val="center"/>
        <w:rPr>
          <w:rFonts w:ascii="Arial" w:hAnsi="Arial"/>
          <w:sz w:val="18"/>
        </w:rPr>
      </w:pPr>
    </w:p>
    <w:p w:rsidR="001D226F" w:rsidRDefault="001D226F">
      <w:pPr>
        <w:rPr>
          <w:rFonts w:ascii="Arial" w:hAnsi="Arial"/>
        </w:rPr>
      </w:pPr>
      <w:r>
        <w:rPr>
          <w:rFonts w:ascii="Arial" w:hAnsi="Arial"/>
          <w:b/>
        </w:rPr>
        <w:t xml:space="preserve">IMPORTANT: </w:t>
      </w:r>
      <w:r>
        <w:rPr>
          <w:rFonts w:ascii="Arial" w:hAnsi="Arial"/>
          <w:sz w:val="18"/>
        </w:rPr>
        <w:t>As a recipient of a Perkins (formerly National Direct), Health Profession, or Institutional student loan you have certain rights and obligations. We recommend that you read your promissory note(s) carefully in order to become familiar with a number of features, duties, and more specifically, “</w:t>
      </w:r>
      <w:r>
        <w:rPr>
          <w:rFonts w:ascii="Arial" w:hAnsi="Arial"/>
          <w:b/>
          <w:sz w:val="18"/>
        </w:rPr>
        <w:t>WHAT IS</w:t>
      </w:r>
      <w:r>
        <w:rPr>
          <w:rFonts w:ascii="Arial" w:hAnsi="Arial"/>
          <w:sz w:val="18"/>
        </w:rPr>
        <w:t>” and “</w:t>
      </w:r>
      <w:r>
        <w:rPr>
          <w:rFonts w:ascii="Arial" w:hAnsi="Arial"/>
          <w:b/>
          <w:sz w:val="18"/>
        </w:rPr>
        <w:t>IS NOT</w:t>
      </w:r>
      <w:r>
        <w:rPr>
          <w:rFonts w:ascii="Arial" w:hAnsi="Arial"/>
          <w:sz w:val="18"/>
        </w:rPr>
        <w:t>” available relating to a deferment (B) and cancellation (C) privileges. (See below.) Please refer to the promissory note(s) for information about nonpayment, default, the right to accelerate the maturity of the obligation, and prepayment.</w:t>
      </w:r>
    </w:p>
    <w:p w:rsidR="001D226F" w:rsidRDefault="001D226F">
      <w:pPr>
        <w:rPr>
          <w:rFonts w:ascii="Arial" w:hAnsi="Arial"/>
        </w:rPr>
      </w:pPr>
    </w:p>
    <w:p w:rsidR="001D226F" w:rsidRDefault="001D226F">
      <w:pPr>
        <w:rPr>
          <w:rFonts w:ascii="Arial" w:hAnsi="Arial"/>
        </w:rPr>
      </w:pPr>
    </w:p>
    <w:p w:rsidR="001D226F" w:rsidRDefault="001D226F">
      <w:pPr>
        <w:pStyle w:val="Heading8"/>
      </w:pPr>
      <w:r>
        <w:t>RIGHTS OF THE BORROWER</w:t>
      </w:r>
    </w:p>
    <w:p w:rsidR="001D226F" w:rsidRDefault="001D226F">
      <w:pPr>
        <w:rPr>
          <w:rFonts w:ascii="Arial" w:hAnsi="Arial"/>
          <w:b/>
          <w:u w:val="single"/>
        </w:rPr>
      </w:pPr>
    </w:p>
    <w:p w:rsidR="001D226F" w:rsidRDefault="001D226F">
      <w:pPr>
        <w:numPr>
          <w:ilvl w:val="0"/>
          <w:numId w:val="1"/>
        </w:numPr>
        <w:rPr>
          <w:rFonts w:ascii="Arial" w:hAnsi="Arial"/>
          <w:b/>
          <w:sz w:val="18"/>
        </w:rPr>
      </w:pPr>
      <w:r>
        <w:rPr>
          <w:rFonts w:ascii="Arial" w:hAnsi="Arial"/>
          <w:b/>
          <w:sz w:val="18"/>
        </w:rPr>
        <w:t>Repayment Terms:</w:t>
      </w:r>
    </w:p>
    <w:p w:rsidR="001D226F" w:rsidRDefault="001D226F">
      <w:pPr>
        <w:rPr>
          <w:rFonts w:ascii="Arial" w:hAnsi="Arial"/>
          <w:b/>
          <w:sz w:val="18"/>
        </w:rPr>
      </w:pPr>
    </w:p>
    <w:p w:rsidR="001D226F" w:rsidRDefault="001D226F">
      <w:pPr>
        <w:numPr>
          <w:ilvl w:val="1"/>
          <w:numId w:val="1"/>
        </w:numPr>
        <w:rPr>
          <w:rFonts w:ascii="Arial" w:hAnsi="Arial"/>
          <w:sz w:val="18"/>
        </w:rPr>
      </w:pPr>
      <w:r>
        <w:rPr>
          <w:rFonts w:ascii="Arial" w:hAnsi="Arial"/>
          <w:b/>
          <w:sz w:val="18"/>
        </w:rPr>
        <w:t>Grace Period</w:t>
      </w:r>
      <w:r>
        <w:rPr>
          <w:rFonts w:ascii="Arial" w:hAnsi="Arial"/>
          <w:sz w:val="18"/>
        </w:rPr>
        <w:t xml:space="preserve"> – You may have a grace period (as indicated on the Exit Interview form) after you graduate or terminate at least half-time (Health Professions and Nursing Students must be full-time) studies before beginning of repayment of your loan. During this period, repayment need not be made and interest will not accrue.</w:t>
      </w:r>
    </w:p>
    <w:p w:rsidR="001D226F" w:rsidRDefault="001D226F">
      <w:pPr>
        <w:ind w:left="720"/>
        <w:rPr>
          <w:rFonts w:ascii="Arial" w:hAnsi="Arial"/>
          <w:sz w:val="18"/>
        </w:rPr>
      </w:pPr>
    </w:p>
    <w:p w:rsidR="001D226F" w:rsidRDefault="001D226F">
      <w:pPr>
        <w:numPr>
          <w:ilvl w:val="1"/>
          <w:numId w:val="1"/>
        </w:numPr>
        <w:rPr>
          <w:rFonts w:ascii="Arial" w:hAnsi="Arial"/>
          <w:sz w:val="18"/>
        </w:rPr>
      </w:pPr>
      <w:r>
        <w:rPr>
          <w:rFonts w:ascii="Arial" w:hAnsi="Arial"/>
          <w:sz w:val="18"/>
        </w:rPr>
        <w:t xml:space="preserve">You may make payments during your </w:t>
      </w:r>
      <w:r>
        <w:rPr>
          <w:rFonts w:ascii="Arial" w:hAnsi="Arial"/>
          <w:b/>
          <w:sz w:val="18"/>
        </w:rPr>
        <w:t>GRACE PERIOD</w:t>
      </w:r>
      <w:r>
        <w:rPr>
          <w:rFonts w:ascii="Arial" w:hAnsi="Arial"/>
          <w:sz w:val="18"/>
        </w:rPr>
        <w:t xml:space="preserve"> or periods in which you are eligible for a deferment or partial cancellation and thereby save money since </w:t>
      </w:r>
      <w:r>
        <w:rPr>
          <w:rFonts w:ascii="Arial" w:hAnsi="Arial"/>
          <w:b/>
          <w:sz w:val="18"/>
        </w:rPr>
        <w:t>no interest</w:t>
      </w:r>
      <w:r>
        <w:rPr>
          <w:rFonts w:ascii="Arial" w:hAnsi="Arial"/>
          <w:sz w:val="18"/>
        </w:rPr>
        <w:t xml:space="preserve"> is charged. There is no penalty for prepayment of this loan. Such payments will also benefit other needy students at your school as it enables the school to provide loans to them immediately. </w:t>
      </w:r>
      <w:r>
        <w:rPr>
          <w:rFonts w:ascii="Arial" w:hAnsi="Arial"/>
          <w:b/>
          <w:sz w:val="18"/>
        </w:rPr>
        <w:t>You may also pay more than the scheduled amount at any time. Such payments will reduce interest costs, ease the burden of future payments and increase funds for present and future students.</w:t>
      </w:r>
    </w:p>
    <w:p w:rsidR="001D226F" w:rsidRDefault="001D226F">
      <w:pPr>
        <w:rPr>
          <w:rFonts w:ascii="Arial" w:hAnsi="Arial"/>
          <w:sz w:val="18"/>
        </w:rPr>
      </w:pPr>
    </w:p>
    <w:p w:rsidR="001D226F" w:rsidRDefault="001D226F">
      <w:pPr>
        <w:numPr>
          <w:ilvl w:val="1"/>
          <w:numId w:val="1"/>
        </w:numPr>
        <w:rPr>
          <w:rFonts w:ascii="Arial" w:hAnsi="Arial"/>
          <w:sz w:val="18"/>
        </w:rPr>
      </w:pPr>
      <w:r>
        <w:rPr>
          <w:rFonts w:ascii="Arial" w:hAnsi="Arial"/>
          <w:b/>
          <w:sz w:val="18"/>
        </w:rPr>
        <w:t>Annual simple interest (as indicated on the Exit Interview form) will be charged after your Grace Period expires. Your repayment will begin according to the schedule on the Exit Interview form. There may be a penalty charge imposed due to a late payment.</w:t>
      </w:r>
    </w:p>
    <w:p w:rsidR="001D226F" w:rsidRDefault="001D226F">
      <w:pPr>
        <w:rPr>
          <w:rFonts w:ascii="Arial" w:hAnsi="Arial"/>
          <w:b/>
          <w:sz w:val="18"/>
        </w:rPr>
      </w:pPr>
    </w:p>
    <w:p w:rsidR="001D226F" w:rsidRDefault="001D226F">
      <w:pPr>
        <w:numPr>
          <w:ilvl w:val="0"/>
          <w:numId w:val="1"/>
        </w:numPr>
        <w:rPr>
          <w:rFonts w:ascii="Arial" w:hAnsi="Arial"/>
          <w:b/>
          <w:sz w:val="18"/>
        </w:rPr>
      </w:pPr>
      <w:r>
        <w:rPr>
          <w:rFonts w:ascii="Arial" w:hAnsi="Arial"/>
          <w:b/>
          <w:sz w:val="18"/>
        </w:rPr>
        <w:t>Deferment Privileges</w:t>
      </w:r>
    </w:p>
    <w:p w:rsidR="001D226F" w:rsidRDefault="001D226F">
      <w:pPr>
        <w:rPr>
          <w:rFonts w:ascii="Arial" w:hAnsi="Arial"/>
          <w:b/>
          <w:sz w:val="18"/>
        </w:rPr>
      </w:pPr>
    </w:p>
    <w:p w:rsidR="001D226F" w:rsidRDefault="001D226F">
      <w:pPr>
        <w:tabs>
          <w:tab w:val="left" w:pos="720"/>
        </w:tabs>
        <w:ind w:left="720" w:hanging="360"/>
        <w:rPr>
          <w:rFonts w:ascii="Arial" w:hAnsi="Arial"/>
          <w:sz w:val="18"/>
        </w:rPr>
      </w:pPr>
      <w:r>
        <w:rPr>
          <w:rFonts w:ascii="Arial" w:hAnsi="Arial"/>
          <w:b/>
          <w:sz w:val="18"/>
        </w:rPr>
        <w:tab/>
      </w:r>
      <w:r>
        <w:rPr>
          <w:rFonts w:ascii="Arial" w:hAnsi="Arial"/>
          <w:sz w:val="18"/>
        </w:rPr>
        <w:t xml:space="preserve">You may defer (delay) payments on your loan by </w:t>
      </w:r>
      <w:r>
        <w:rPr>
          <w:rFonts w:ascii="Arial" w:hAnsi="Arial"/>
          <w:b/>
          <w:sz w:val="18"/>
        </w:rPr>
        <w:t>submitting properly completed and certified forms requesting deferment.</w:t>
      </w:r>
      <w:r>
        <w:rPr>
          <w:rFonts w:ascii="Arial" w:hAnsi="Arial"/>
          <w:sz w:val="18"/>
        </w:rPr>
        <w:t xml:space="preserve"> Submission of these forms is required </w:t>
      </w:r>
      <w:r>
        <w:rPr>
          <w:rFonts w:ascii="Arial" w:hAnsi="Arial"/>
          <w:b/>
          <w:sz w:val="18"/>
        </w:rPr>
        <w:t>once each term</w:t>
      </w:r>
      <w:r>
        <w:rPr>
          <w:rFonts w:ascii="Arial" w:hAnsi="Arial"/>
          <w:sz w:val="18"/>
        </w:rPr>
        <w:t>. Deferments are granted based on your promissory note provisions.</w:t>
      </w:r>
    </w:p>
    <w:p w:rsidR="001D226F" w:rsidRDefault="001D226F">
      <w:pPr>
        <w:ind w:left="720" w:hanging="360"/>
        <w:rPr>
          <w:rFonts w:ascii="Arial" w:hAnsi="Arial"/>
          <w:b/>
          <w:sz w:val="18"/>
        </w:rPr>
      </w:pPr>
    </w:p>
    <w:p w:rsidR="001D226F" w:rsidRDefault="001D226F">
      <w:pPr>
        <w:numPr>
          <w:ilvl w:val="0"/>
          <w:numId w:val="1"/>
        </w:numPr>
        <w:rPr>
          <w:rFonts w:ascii="Arial" w:hAnsi="Arial"/>
          <w:b/>
          <w:sz w:val="18"/>
        </w:rPr>
      </w:pPr>
      <w:r>
        <w:rPr>
          <w:rFonts w:ascii="Arial" w:hAnsi="Arial"/>
          <w:b/>
          <w:sz w:val="18"/>
        </w:rPr>
        <w:t>Partial/Full Cancellation Privileges</w:t>
      </w:r>
    </w:p>
    <w:p w:rsidR="001D226F" w:rsidRDefault="001D226F">
      <w:pPr>
        <w:rPr>
          <w:rFonts w:ascii="Arial" w:hAnsi="Arial"/>
          <w:b/>
          <w:sz w:val="18"/>
        </w:rPr>
      </w:pPr>
    </w:p>
    <w:p w:rsidR="001D226F" w:rsidRDefault="001D226F">
      <w:pPr>
        <w:tabs>
          <w:tab w:val="left" w:pos="720"/>
        </w:tabs>
        <w:ind w:left="720" w:hanging="360"/>
        <w:rPr>
          <w:rFonts w:ascii="Arial" w:hAnsi="Arial"/>
          <w:sz w:val="18"/>
        </w:rPr>
      </w:pPr>
      <w:r>
        <w:rPr>
          <w:rFonts w:ascii="Arial" w:hAnsi="Arial"/>
          <w:b/>
          <w:sz w:val="18"/>
        </w:rPr>
        <w:tab/>
      </w:r>
      <w:r>
        <w:rPr>
          <w:rFonts w:ascii="Arial" w:hAnsi="Arial"/>
          <w:sz w:val="18"/>
        </w:rPr>
        <w:t xml:space="preserve">Borrowers who perform </w:t>
      </w:r>
      <w:r>
        <w:rPr>
          <w:rFonts w:ascii="Arial" w:hAnsi="Arial"/>
          <w:b/>
          <w:sz w:val="18"/>
        </w:rPr>
        <w:t>“CERTAIN SERVICES”</w:t>
      </w:r>
      <w:r>
        <w:rPr>
          <w:rFonts w:ascii="Arial" w:hAnsi="Arial"/>
          <w:sz w:val="18"/>
        </w:rPr>
        <w:t xml:space="preserve"> may qualify for cancellation benefits. A portion or all of the loan and accrued interest will not have to be repaid.</w:t>
      </w:r>
    </w:p>
    <w:p w:rsidR="001D226F" w:rsidRDefault="001D226F">
      <w:pPr>
        <w:rPr>
          <w:rFonts w:ascii="Arial" w:hAnsi="Arial"/>
          <w:b/>
        </w:rPr>
      </w:pPr>
    </w:p>
    <w:p w:rsidR="001D226F" w:rsidRDefault="001D226F">
      <w:pPr>
        <w:numPr>
          <w:ilvl w:val="0"/>
          <w:numId w:val="1"/>
        </w:numPr>
        <w:rPr>
          <w:rFonts w:ascii="Arial" w:hAnsi="Arial"/>
          <w:b/>
        </w:rPr>
      </w:pPr>
      <w:r>
        <w:rPr>
          <w:rFonts w:ascii="Arial" w:hAnsi="Arial"/>
          <w:b/>
          <w:u w:val="single"/>
        </w:rPr>
        <w:t>RESPONSIBILITY OF THE BORROWER</w:t>
      </w:r>
    </w:p>
    <w:p w:rsidR="001D226F" w:rsidRDefault="001D226F">
      <w:pPr>
        <w:ind w:left="360"/>
        <w:rPr>
          <w:rFonts w:ascii="Arial" w:hAnsi="Arial"/>
          <w:b/>
        </w:rPr>
      </w:pPr>
    </w:p>
    <w:p w:rsidR="001D226F" w:rsidRDefault="001D226F">
      <w:pPr>
        <w:numPr>
          <w:ilvl w:val="1"/>
          <w:numId w:val="1"/>
        </w:numPr>
        <w:rPr>
          <w:rFonts w:ascii="Arial" w:hAnsi="Arial"/>
          <w:sz w:val="18"/>
        </w:rPr>
      </w:pPr>
      <w:r>
        <w:rPr>
          <w:rFonts w:ascii="Arial" w:hAnsi="Arial"/>
          <w:b/>
          <w:sz w:val="18"/>
        </w:rPr>
        <w:t>Address Change</w:t>
      </w:r>
      <w:r>
        <w:rPr>
          <w:rFonts w:ascii="Arial" w:hAnsi="Arial"/>
          <w:sz w:val="18"/>
        </w:rPr>
        <w:t xml:space="preserve"> – You are obligated to promptly notify your lending school or their billing agent of any change.</w:t>
      </w:r>
    </w:p>
    <w:p w:rsidR="001D226F" w:rsidRDefault="001D226F">
      <w:pPr>
        <w:ind w:left="720"/>
        <w:rPr>
          <w:rFonts w:ascii="Arial" w:hAnsi="Arial"/>
          <w:sz w:val="18"/>
        </w:rPr>
      </w:pPr>
    </w:p>
    <w:p w:rsidR="001D226F" w:rsidRDefault="001D226F">
      <w:pPr>
        <w:numPr>
          <w:ilvl w:val="1"/>
          <w:numId w:val="1"/>
        </w:numPr>
        <w:rPr>
          <w:rFonts w:ascii="Arial" w:hAnsi="Arial"/>
          <w:sz w:val="18"/>
        </w:rPr>
      </w:pPr>
      <w:r>
        <w:rPr>
          <w:rFonts w:ascii="Arial" w:hAnsi="Arial"/>
          <w:b/>
          <w:sz w:val="18"/>
        </w:rPr>
        <w:t>Timely Remittances</w:t>
      </w:r>
      <w:r>
        <w:rPr>
          <w:rFonts w:ascii="Arial" w:hAnsi="Arial"/>
          <w:sz w:val="18"/>
        </w:rPr>
        <w:t xml:space="preserve"> – You will be billed for each payment due. The frequency of such payments – i.e., monthly, quarterly, etc. – and the amounts due are determined by the provisions in the Promissory Note and any other </w:t>
      </w:r>
      <w:proofErr w:type="gramStart"/>
      <w:r>
        <w:rPr>
          <w:rFonts w:ascii="Arial" w:hAnsi="Arial"/>
          <w:sz w:val="18"/>
        </w:rPr>
        <w:t>agreements  made</w:t>
      </w:r>
      <w:proofErr w:type="gramEnd"/>
      <w:r>
        <w:rPr>
          <w:rFonts w:ascii="Arial" w:hAnsi="Arial"/>
          <w:sz w:val="18"/>
        </w:rPr>
        <w:t xml:space="preserve"> when leaving the lending institution. Your schedule of payments, as shown on the Exit Interview Amortization Schedule, may be altered by submission of forms requesting deferment or cancellation, or by making late payments. All payments should be made on or before the due date shown on each billing statement. Checks should be made out to the lending school and sent to the address shown on the billing statement.</w:t>
      </w:r>
    </w:p>
    <w:p w:rsidR="001D226F" w:rsidRDefault="001D226F">
      <w:pPr>
        <w:rPr>
          <w:rFonts w:ascii="Arial" w:hAnsi="Arial"/>
          <w:sz w:val="18"/>
        </w:rPr>
      </w:pPr>
    </w:p>
    <w:p w:rsidR="001D226F" w:rsidRDefault="001D226F">
      <w:pPr>
        <w:numPr>
          <w:ilvl w:val="1"/>
          <w:numId w:val="1"/>
        </w:numPr>
        <w:rPr>
          <w:rFonts w:ascii="Arial" w:hAnsi="Arial"/>
          <w:sz w:val="18"/>
        </w:rPr>
      </w:pPr>
      <w:r>
        <w:rPr>
          <w:rFonts w:ascii="Arial" w:hAnsi="Arial"/>
          <w:b/>
          <w:sz w:val="18"/>
        </w:rPr>
        <w:t>Submission of Forms</w:t>
      </w:r>
      <w:r>
        <w:rPr>
          <w:rFonts w:ascii="Arial" w:hAnsi="Arial"/>
          <w:sz w:val="18"/>
        </w:rPr>
        <w:t xml:space="preserve"> – Properly completed and certified forms requesting deferment and cancellation benefits must be submitted to the billing office at the address shown on the billing statement within 30 days of your payment due date.</w:t>
      </w:r>
    </w:p>
    <w:p w:rsidR="001D226F" w:rsidRDefault="001D226F">
      <w:pPr>
        <w:rPr>
          <w:rFonts w:ascii="Arial" w:hAnsi="Arial"/>
          <w:sz w:val="18"/>
        </w:rPr>
      </w:pPr>
    </w:p>
    <w:p w:rsidR="001D226F" w:rsidRDefault="001D226F">
      <w:pPr>
        <w:numPr>
          <w:ilvl w:val="1"/>
          <w:numId w:val="1"/>
        </w:numPr>
        <w:rPr>
          <w:rFonts w:ascii="Arial" w:hAnsi="Arial"/>
          <w:sz w:val="18"/>
        </w:rPr>
      </w:pPr>
      <w:r>
        <w:rPr>
          <w:rFonts w:ascii="Arial" w:hAnsi="Arial"/>
          <w:b/>
          <w:sz w:val="18"/>
        </w:rPr>
        <w:t>Change of Status</w:t>
      </w:r>
      <w:r>
        <w:rPr>
          <w:rFonts w:ascii="Arial" w:hAnsi="Arial"/>
          <w:sz w:val="18"/>
        </w:rPr>
        <w:t xml:space="preserve"> – You must notify the billing office upon terminating any status requiring special consideration that exists for students, military, Peace Corps, Vista Personnel or teachers.</w:t>
      </w:r>
    </w:p>
    <w:p w:rsidR="001D226F" w:rsidRDefault="001D226F">
      <w:pPr>
        <w:rPr>
          <w:rFonts w:ascii="Arial" w:hAnsi="Arial"/>
          <w:sz w:val="18"/>
        </w:rPr>
      </w:pPr>
    </w:p>
    <w:p w:rsidR="001D226F" w:rsidRDefault="001D226F">
      <w:pPr>
        <w:pStyle w:val="BodyText"/>
        <w:rPr>
          <w:sz w:val="18"/>
        </w:rPr>
      </w:pPr>
    </w:p>
    <w:p w:rsidR="001D226F" w:rsidRDefault="001D226F">
      <w:pPr>
        <w:pStyle w:val="BodyText"/>
        <w:rPr>
          <w:sz w:val="18"/>
        </w:rPr>
      </w:pPr>
    </w:p>
    <w:p w:rsidR="001D226F" w:rsidRDefault="001D226F">
      <w:pPr>
        <w:pStyle w:val="BodyText"/>
        <w:rPr>
          <w:sz w:val="18"/>
        </w:rPr>
      </w:pPr>
    </w:p>
    <w:p w:rsidR="001D226F" w:rsidRDefault="001D226F">
      <w:pPr>
        <w:pStyle w:val="BodyText"/>
        <w:rPr>
          <w:sz w:val="18"/>
        </w:rPr>
      </w:pPr>
      <w:r>
        <w:rPr>
          <w:sz w:val="18"/>
        </w:rPr>
        <w:t xml:space="preserve">Any failure to fulfill the above responsibilities of the borrower could result in a delinquent status and additional collection costs. The lending institution will cooperate with you in every way possible, but late payment and other types of neglect – i.e., failure to report an address change or to submit forms on time – could result in action by a collection agency or a lawyer. </w:t>
      </w:r>
    </w:p>
    <w:p w:rsidR="001D226F" w:rsidRDefault="001D226F">
      <w:pPr>
        <w:ind w:left="360"/>
        <w:rPr>
          <w:rFonts w:ascii="Arial" w:hAnsi="Arial"/>
          <w:b/>
          <w:sz w:val="18"/>
        </w:rPr>
        <w:sectPr w:rsidR="001D226F" w:rsidSect="001D226F">
          <w:pgSz w:w="12240" w:h="15840" w:code="1"/>
          <w:pgMar w:top="720" w:right="720" w:bottom="720" w:left="720" w:header="720" w:footer="720" w:gutter="0"/>
          <w:pgNumType w:start="1"/>
          <w:cols w:space="720"/>
        </w:sectPr>
      </w:pPr>
    </w:p>
    <w:p w:rsidR="001D226F" w:rsidRDefault="001D226F">
      <w:pPr>
        <w:ind w:left="360"/>
        <w:rPr>
          <w:rFonts w:ascii="Arial" w:hAnsi="Arial"/>
          <w:b/>
          <w:sz w:val="18"/>
        </w:rPr>
      </w:pPr>
      <w:bookmarkStart w:id="0" w:name="_GoBack"/>
      <w:bookmarkEnd w:id="0"/>
    </w:p>
    <w:sectPr w:rsidR="001D226F" w:rsidSect="001D226F">
      <w:type w:val="continuous"/>
      <w:pgSz w:w="12240" w:h="15840" w:code="1"/>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769F0C63"/>
    <w:multiLevelType w:val="hybridMultilevel"/>
    <w:tmpl w:val="E1EA6584"/>
    <w:lvl w:ilvl="0" w:tplc="DF4AC0A4">
      <w:start w:val="1"/>
      <w:numFmt w:val="upperLetter"/>
      <w:lvlText w:val="%1."/>
      <w:lvlJc w:val="left"/>
      <w:pPr>
        <w:tabs>
          <w:tab w:val="num" w:pos="360"/>
        </w:tabs>
        <w:ind w:left="360" w:hanging="360"/>
      </w:pPr>
    </w:lvl>
    <w:lvl w:ilvl="1" w:tplc="FE964888">
      <w:start w:val="1"/>
      <w:numFmt w:val="upperRoman"/>
      <w:lvlText w:val="%2."/>
      <w:lvlJc w:val="left"/>
      <w:pPr>
        <w:tabs>
          <w:tab w:val="num" w:pos="1440"/>
        </w:tabs>
        <w:ind w:left="1440" w:hanging="720"/>
      </w:pPr>
      <w:rPr>
        <w:rFonts w:hint="default"/>
      </w:rPr>
    </w:lvl>
    <w:lvl w:ilvl="2" w:tplc="1D8A777C">
      <w:start w:val="1"/>
      <w:numFmt w:val="upperLetter"/>
      <w:lvlText w:val="%3."/>
      <w:lvlJc w:val="left"/>
      <w:pPr>
        <w:tabs>
          <w:tab w:val="num" w:pos="1980"/>
        </w:tabs>
        <w:ind w:left="1980" w:hanging="360"/>
      </w:pPr>
    </w:lvl>
    <w:lvl w:ilvl="3" w:tplc="6A14DC7E" w:tentative="1">
      <w:start w:val="1"/>
      <w:numFmt w:val="decimal"/>
      <w:lvlText w:val="%4."/>
      <w:lvlJc w:val="left"/>
      <w:pPr>
        <w:tabs>
          <w:tab w:val="num" w:pos="2520"/>
        </w:tabs>
        <w:ind w:left="2520" w:hanging="360"/>
      </w:pPr>
    </w:lvl>
    <w:lvl w:ilvl="4" w:tplc="69427AB8" w:tentative="1">
      <w:start w:val="1"/>
      <w:numFmt w:val="lowerLetter"/>
      <w:lvlText w:val="%5."/>
      <w:lvlJc w:val="left"/>
      <w:pPr>
        <w:tabs>
          <w:tab w:val="num" w:pos="3240"/>
        </w:tabs>
        <w:ind w:left="3240" w:hanging="360"/>
      </w:pPr>
    </w:lvl>
    <w:lvl w:ilvl="5" w:tplc="43A0A9B4" w:tentative="1">
      <w:start w:val="1"/>
      <w:numFmt w:val="lowerRoman"/>
      <w:lvlText w:val="%6."/>
      <w:lvlJc w:val="right"/>
      <w:pPr>
        <w:tabs>
          <w:tab w:val="num" w:pos="3960"/>
        </w:tabs>
        <w:ind w:left="3960" w:hanging="180"/>
      </w:pPr>
    </w:lvl>
    <w:lvl w:ilvl="6" w:tplc="F0E64E2E" w:tentative="1">
      <w:start w:val="1"/>
      <w:numFmt w:val="decimal"/>
      <w:lvlText w:val="%7."/>
      <w:lvlJc w:val="left"/>
      <w:pPr>
        <w:tabs>
          <w:tab w:val="num" w:pos="4680"/>
        </w:tabs>
        <w:ind w:left="4680" w:hanging="360"/>
      </w:pPr>
    </w:lvl>
    <w:lvl w:ilvl="7" w:tplc="8E4444EA" w:tentative="1">
      <w:start w:val="1"/>
      <w:numFmt w:val="lowerLetter"/>
      <w:lvlText w:val="%8."/>
      <w:lvlJc w:val="left"/>
      <w:pPr>
        <w:tabs>
          <w:tab w:val="num" w:pos="5400"/>
        </w:tabs>
        <w:ind w:left="5400" w:hanging="360"/>
      </w:pPr>
    </w:lvl>
    <w:lvl w:ilvl="8" w:tplc="46EE7C3E"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displayHorizontalDrawingGridEvery w:val="0"/>
  <w:displayVerticalDrawingGridEvery w:val="0"/>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66A0"/>
    <w:rsid w:val="00015E3F"/>
    <w:rsid w:val="001D226F"/>
    <w:rsid w:val="002866A0"/>
    <w:rsid w:val="002F79D8"/>
    <w:rsid w:val="003B3D27"/>
    <w:rsid w:val="0042195B"/>
    <w:rsid w:val="006F7836"/>
    <w:rsid w:val="009D6378"/>
    <w:rsid w:val="00A230F1"/>
    <w:rsid w:val="00DF790C"/>
    <w:rsid w:val="00E652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6DE4ED0-2851-4310-911D-6F5445AE8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qFormat/>
    <w:pPr>
      <w:keepNext/>
      <w:tabs>
        <w:tab w:val="left" w:pos="1710"/>
        <w:tab w:val="left" w:pos="3420"/>
        <w:tab w:val="left" w:pos="4230"/>
        <w:tab w:val="left" w:pos="5850"/>
        <w:tab w:val="left" w:pos="9810"/>
      </w:tabs>
      <w:outlineLvl w:val="0"/>
    </w:pPr>
    <w:rPr>
      <w:rFonts w:ascii="Arial" w:hAnsi="Arial" w:cs="Arial"/>
      <w:b/>
      <w:bCs/>
      <w:sz w:val="16"/>
    </w:rPr>
  </w:style>
  <w:style w:type="paragraph" w:styleId="Heading2">
    <w:name w:val="heading 2"/>
    <w:basedOn w:val="Normal"/>
    <w:next w:val="Normal"/>
    <w:qFormat/>
    <w:pPr>
      <w:keepNext/>
      <w:tabs>
        <w:tab w:val="left" w:pos="1710"/>
        <w:tab w:val="left" w:pos="3420"/>
        <w:tab w:val="left" w:pos="4230"/>
        <w:tab w:val="left" w:pos="5850"/>
        <w:tab w:val="left" w:pos="9810"/>
      </w:tabs>
      <w:jc w:val="center"/>
      <w:outlineLvl w:val="1"/>
    </w:pPr>
    <w:rPr>
      <w:rFonts w:ascii="Arial" w:hAnsi="Arial" w:cs="Arial"/>
      <w:b/>
      <w:bCs/>
      <w:sz w:val="16"/>
    </w:rPr>
  </w:style>
  <w:style w:type="paragraph" w:styleId="Heading3">
    <w:name w:val="heading 3"/>
    <w:basedOn w:val="Normal"/>
    <w:next w:val="Normal"/>
    <w:qFormat/>
    <w:pPr>
      <w:keepNext/>
      <w:tabs>
        <w:tab w:val="left" w:pos="3330"/>
        <w:tab w:val="left" w:pos="8010"/>
      </w:tabs>
      <w:outlineLvl w:val="2"/>
    </w:pPr>
    <w:rPr>
      <w:rFonts w:ascii="Arial" w:hAnsi="Arial" w:cs="Arial"/>
      <w:b/>
      <w:bCs/>
      <w:sz w:val="24"/>
    </w:rPr>
  </w:style>
  <w:style w:type="paragraph" w:styleId="Heading4">
    <w:name w:val="heading 4"/>
    <w:basedOn w:val="Normal"/>
    <w:next w:val="Normal"/>
    <w:qFormat/>
    <w:pPr>
      <w:keepNext/>
      <w:tabs>
        <w:tab w:val="left" w:pos="630"/>
      </w:tabs>
      <w:outlineLvl w:val="3"/>
    </w:pPr>
    <w:rPr>
      <w:rFonts w:ascii="Arial" w:hAnsi="Arial" w:cs="Arial"/>
      <w:b/>
      <w:bCs/>
      <w:sz w:val="14"/>
    </w:rPr>
  </w:style>
  <w:style w:type="paragraph" w:styleId="Heading5">
    <w:name w:val="heading 5"/>
    <w:basedOn w:val="Normal"/>
    <w:next w:val="Normal"/>
    <w:qFormat/>
    <w:pPr>
      <w:keepNext/>
      <w:tabs>
        <w:tab w:val="left" w:pos="3510"/>
        <w:tab w:val="left" w:pos="7830"/>
      </w:tabs>
      <w:outlineLvl w:val="4"/>
    </w:pPr>
    <w:rPr>
      <w:b/>
      <w:bCs/>
    </w:rPr>
  </w:style>
  <w:style w:type="paragraph" w:styleId="Heading6">
    <w:name w:val="heading 6"/>
    <w:basedOn w:val="Normal"/>
    <w:next w:val="Normal"/>
    <w:qFormat/>
    <w:pPr>
      <w:keepNext/>
      <w:outlineLvl w:val="5"/>
    </w:pPr>
    <w:rPr>
      <w:rFonts w:ascii="Arial" w:hAnsi="Arial" w:cs="Arial"/>
      <w:b/>
      <w:bCs/>
      <w:sz w:val="18"/>
    </w:rPr>
  </w:style>
  <w:style w:type="paragraph" w:styleId="Heading7">
    <w:name w:val="heading 7"/>
    <w:basedOn w:val="Normal"/>
    <w:next w:val="Normal"/>
    <w:qFormat/>
    <w:pPr>
      <w:keepNext/>
      <w:jc w:val="center"/>
      <w:outlineLvl w:val="6"/>
    </w:pPr>
    <w:rPr>
      <w:rFonts w:ascii="Arial" w:hAnsi="Arial"/>
      <w:sz w:val="28"/>
    </w:rPr>
  </w:style>
  <w:style w:type="paragraph" w:styleId="Heading8">
    <w:name w:val="heading 8"/>
    <w:basedOn w:val="Normal"/>
    <w:next w:val="Normal"/>
    <w:qFormat/>
    <w:pPr>
      <w:keepNext/>
      <w:outlineLvl w:val="7"/>
    </w:pPr>
    <w:rPr>
      <w:rFonts w:ascii="Arial" w:hAnsi="Arial"/>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16"/>
    </w:r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odyText">
    <w:name w:val="Body Text"/>
    <w:basedOn w:val="Normal"/>
    <w:rPr>
      <w:rFonts w:ascii="Arial" w:hAnsi="Arial"/>
      <w:b/>
      <w:bCs/>
    </w:rPr>
  </w:style>
  <w:style w:type="paragraph" w:styleId="BalloonText">
    <w:name w:val="Balloon Text"/>
    <w:basedOn w:val="Normal"/>
    <w:link w:val="BalloonTextChar"/>
    <w:uiPriority w:val="99"/>
    <w:semiHidden/>
    <w:unhideWhenUsed/>
    <w:rsid w:val="001D226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226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576</Words>
  <Characters>3289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PLEASE RETAIN ONE COPY OF THIS DOCUMENT FOR FUTURE REFERENCE </vt:lpstr>
    </vt:vector>
  </TitlesOfParts>
  <Company>E.C.S.I.</Company>
  <LinksUpToDate>false</LinksUpToDate>
  <CharactersWithSpaces>3858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PLEASE RETAIN ONE COPY OF THIS DOCUMENT FOR FUTURE REFERENCE</dc:title>
  <dc:subject/>
  <dc:creator>E.C.S.I.</dc:creator>
  <cp:keywords/>
  <dc:description/>
  <cp:lastModifiedBy>McLaughlin, Catherine F</cp:lastModifiedBy>
  <cp:revision>3</cp:revision>
  <cp:lastPrinted>2020-02-25T13:46:00Z</cp:lastPrinted>
  <dcterms:created xsi:type="dcterms:W3CDTF">2020-02-25T14:57:00Z</dcterms:created>
  <dcterms:modified xsi:type="dcterms:W3CDTF">2020-02-25T14:57:00Z</dcterms:modified>
</cp:coreProperties>
</file>