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5F428" w14:textId="477BD163" w:rsidR="0044711F" w:rsidRPr="005A3CBC" w:rsidRDefault="00B975AB" w:rsidP="005A3CBC">
      <w:pPr>
        <w:rPr>
          <w:rFonts w:ascii="Arial" w:hAnsi="Arial" w:cs="Arial"/>
          <w:b/>
          <w:bCs/>
        </w:rPr>
      </w:pPr>
      <w:commentRangeStart w:id="0"/>
      <w:r w:rsidRPr="005A3CBC">
        <w:rPr>
          <w:rFonts w:ascii="Arial" w:hAnsi="Arial" w:cs="Arial"/>
          <w:b/>
          <w:bCs/>
        </w:rPr>
        <w:t>FACILITIES AND OTHER RESOURCES</w:t>
      </w:r>
      <w:commentRangeEnd w:id="0"/>
      <w:r w:rsidR="00DC4C62">
        <w:rPr>
          <w:rStyle w:val="CommentReference"/>
          <w:rFonts w:ascii="Times" w:eastAsia="Times New Roman" w:hAnsi="Times" w:cs="Times"/>
          <w:kern w:val="0"/>
          <w14:ligatures w14:val="none"/>
        </w:rPr>
        <w:commentReference w:id="0"/>
      </w:r>
    </w:p>
    <w:p w14:paraId="3942E734" w14:textId="155A632A" w:rsidR="00BF2747" w:rsidRPr="005A3CBC" w:rsidRDefault="00902023" w:rsidP="00902023">
      <w:pPr>
        <w:tabs>
          <w:tab w:val="left" w:pos="2896"/>
        </w:tabs>
        <w:rPr>
          <w:rFonts w:ascii="Arial" w:hAnsi="Arial" w:cs="Arial"/>
        </w:rPr>
      </w:pPr>
      <w:r w:rsidRPr="005A3CBC">
        <w:rPr>
          <w:rFonts w:ascii="Arial" w:hAnsi="Arial" w:cs="Arial"/>
        </w:rPr>
        <w:tab/>
      </w:r>
    </w:p>
    <w:p w14:paraId="4360F662" w14:textId="018684CE" w:rsidR="006D0391" w:rsidRPr="009942BB" w:rsidRDefault="00B13A1B" w:rsidP="005A3CBC">
      <w:pPr>
        <w:rPr>
          <w:rFonts w:ascii="Arial" w:hAnsi="Arial" w:cs="Arial"/>
          <w:b/>
          <w:bCs/>
          <w:u w:val="single"/>
        </w:rPr>
      </w:pPr>
      <w:r w:rsidRPr="009942BB">
        <w:rPr>
          <w:rFonts w:ascii="Arial" w:hAnsi="Arial" w:cs="Arial"/>
          <w:b/>
          <w:bCs/>
          <w:u w:val="single"/>
        </w:rPr>
        <w:t>Boston University</w:t>
      </w:r>
      <w:r w:rsidR="005E16E0" w:rsidRPr="009942BB">
        <w:rPr>
          <w:rFonts w:ascii="Arial" w:hAnsi="Arial" w:cs="Arial"/>
          <w:b/>
          <w:bCs/>
          <w:u w:val="single"/>
        </w:rPr>
        <w:t xml:space="preserve"> (BU)</w:t>
      </w:r>
    </w:p>
    <w:p w14:paraId="50D2247B" w14:textId="070C02F8" w:rsidR="00C32B5B" w:rsidRPr="005A3CBC" w:rsidRDefault="00060AA8" w:rsidP="005A3CBC">
      <w:pPr>
        <w:rPr>
          <w:rFonts w:ascii="Arial" w:hAnsi="Arial" w:cs="Arial"/>
          <w:b/>
          <w:bCs/>
        </w:rPr>
      </w:pPr>
      <w:r w:rsidRPr="005A3CBC">
        <w:rPr>
          <w:rFonts w:ascii="Arial" w:hAnsi="Arial" w:cs="Arial"/>
          <w:b/>
          <w:bCs/>
        </w:rPr>
        <w:t xml:space="preserve">BU </w:t>
      </w:r>
      <w:r w:rsidR="00D5426C" w:rsidRPr="005A3CBC">
        <w:rPr>
          <w:rFonts w:ascii="Arial" w:hAnsi="Arial" w:cs="Arial"/>
          <w:b/>
          <w:bCs/>
        </w:rPr>
        <w:t>Charles River Campus</w:t>
      </w:r>
      <w:r w:rsidR="00FD35E4" w:rsidRPr="005A3CBC">
        <w:rPr>
          <w:rFonts w:ascii="Arial" w:hAnsi="Arial" w:cs="Arial"/>
          <w:b/>
          <w:bCs/>
        </w:rPr>
        <w:t xml:space="preserve"> (CRC)</w:t>
      </w:r>
    </w:p>
    <w:p w14:paraId="462AB32E" w14:textId="38395D81" w:rsidR="004D5724" w:rsidRPr="005A3CBC" w:rsidRDefault="004D5724" w:rsidP="004D5724">
      <w:pPr>
        <w:rPr>
          <w:rFonts w:ascii="Arial" w:hAnsi="Arial" w:cs="Arial"/>
        </w:rPr>
      </w:pPr>
      <w:r w:rsidRPr="005A3CBC">
        <w:rPr>
          <w:rFonts w:ascii="Arial" w:hAnsi="Arial" w:cs="Arial"/>
        </w:rPr>
        <w:t xml:space="preserve">Boston University, with an enrollment of more than 35,000 </w:t>
      </w:r>
      <w:r w:rsidR="003D3883" w:rsidRPr="005A3CBC">
        <w:rPr>
          <w:rFonts w:ascii="Arial" w:hAnsi="Arial" w:cs="Arial"/>
        </w:rPr>
        <w:t xml:space="preserve">students </w:t>
      </w:r>
      <w:r w:rsidRPr="005A3CBC">
        <w:rPr>
          <w:rFonts w:ascii="Arial" w:hAnsi="Arial" w:cs="Arial"/>
        </w:rPr>
        <w:t>in its 17 schools and colleges, and more than 300 programs of study, is the fourth-largest independent university in the United States and one of 62 members of the Association of American University. The University currently has grants and contracts totaling &gt;$579 million, an endowment of 2.3 billion USD, and total net assets of approximately $4 billion. The University has over 10,000 faculty and staff. Boston University has two primary campuses which comprise a total of 132 acres. The Charles River Campus, consisting of 110 acres in the City of Boston and the Town of Brookline, is home to most of the University’s research, educational, student residence, and extracurricular facilities. The professional Schools of Medicine (BUSM), Public Health (BUSPH), and Dental Medicine, along with the Boston Medical Center hospital, constitute the Boston University Medical campus, located in Boston’s "South End" about two miles from the Charles River Campus. In conjunction with the Boston Medical Center hospital, these three Schools comprise the Boston University Medical C</w:t>
      </w:r>
      <w:r w:rsidR="00146E52">
        <w:rPr>
          <w:rFonts w:ascii="Arial" w:hAnsi="Arial" w:cs="Arial"/>
        </w:rPr>
        <w:t>ampus</w:t>
      </w:r>
      <w:r w:rsidRPr="005A3CBC">
        <w:rPr>
          <w:rFonts w:ascii="Arial" w:hAnsi="Arial" w:cs="Arial"/>
        </w:rPr>
        <w:t xml:space="preserve"> (BUMC). Among the classrooms, labs, residence halls, and dining facilities on campus is an assortment of academic facilities designed to enhance learning and foster research.</w:t>
      </w:r>
    </w:p>
    <w:p w14:paraId="3045577A" w14:textId="23B435BA" w:rsidR="00E71EBE" w:rsidRPr="002B455A" w:rsidRDefault="005E16E0" w:rsidP="005A3CBC">
      <w:pPr>
        <w:rPr>
          <w:rStyle w:val="Heading3Char"/>
          <w:rFonts w:ascii="Arial" w:hAnsi="Arial" w:cs="Arial"/>
          <w:b/>
          <w:bCs/>
          <w:color w:val="auto"/>
          <w:sz w:val="22"/>
          <w:szCs w:val="22"/>
        </w:rPr>
      </w:pPr>
      <w:r w:rsidRPr="002B455A">
        <w:rPr>
          <w:rFonts w:ascii="Arial" w:hAnsi="Arial" w:cs="Arial"/>
          <w:b/>
          <w:bCs/>
        </w:rPr>
        <w:t>BU Librar</w:t>
      </w:r>
      <w:r w:rsidR="008725ED" w:rsidRPr="002B455A">
        <w:rPr>
          <w:rFonts w:ascii="Arial" w:hAnsi="Arial" w:cs="Arial"/>
          <w:b/>
          <w:bCs/>
        </w:rPr>
        <w:t>ies</w:t>
      </w:r>
    </w:p>
    <w:p w14:paraId="20A4E53C" w14:textId="4CBBF18D" w:rsidR="00BD57F0" w:rsidRPr="005A3CBC" w:rsidRDefault="003232BD" w:rsidP="00E71EBE">
      <w:pPr>
        <w:rPr>
          <w:rFonts w:ascii="Arial" w:hAnsi="Arial" w:cs="Arial"/>
        </w:rPr>
      </w:pPr>
      <w:r w:rsidRPr="00454CDB">
        <w:rPr>
          <w:rFonts w:ascii="Arial" w:eastAsia="Arial" w:hAnsi="Arial" w:cs="Arial"/>
          <w:b/>
          <w:kern w:val="0"/>
          <w14:ligatures w14:val="none"/>
        </w:rPr>
        <w:t>Alumni Medical Library:</w:t>
      </w:r>
      <w:r w:rsidRPr="005A3CBC">
        <w:rPr>
          <w:rFonts w:ascii="Arial" w:eastAsia="Arial" w:hAnsi="Arial" w:cs="Arial"/>
          <w:b/>
          <w:kern w:val="0"/>
          <w14:ligatures w14:val="none"/>
        </w:rPr>
        <w:t xml:space="preserve"> </w:t>
      </w:r>
      <w:r w:rsidR="00BD57F0" w:rsidRPr="005A3CBC">
        <w:rPr>
          <w:rFonts w:ascii="Arial" w:hAnsi="Arial" w:cs="Arial"/>
        </w:rPr>
        <w:t xml:space="preserve">The scientific environment for the proposed study is enhanced by the presence of the Alumni Medical Library. The </w:t>
      </w:r>
      <w:proofErr w:type="gramStart"/>
      <w:r w:rsidR="00BD57F0" w:rsidRPr="005A3CBC">
        <w:rPr>
          <w:rFonts w:ascii="Arial" w:hAnsi="Arial" w:cs="Arial"/>
        </w:rPr>
        <w:t>Alumni</w:t>
      </w:r>
      <w:proofErr w:type="gramEnd"/>
      <w:r w:rsidR="00BD57F0" w:rsidRPr="005A3CBC">
        <w:rPr>
          <w:rFonts w:ascii="Arial" w:hAnsi="Arial" w:cs="Arial"/>
        </w:rPr>
        <w:t xml:space="preserve"> Library contains major journals and reference works needed to support the proposed research. Holdings include more than 20 current print journal subscriptions. The library also has state-of-the-art computer equipment with major search engines and electronic databases. The Medical Campus library houses three dedicated computer laboratories comprised of a total of 73 student workstations, all with wireless internet access and</w:t>
      </w:r>
      <w:r w:rsidR="000863F3" w:rsidRPr="005A3CBC">
        <w:rPr>
          <w:rFonts w:ascii="Arial" w:hAnsi="Arial" w:cs="Arial"/>
        </w:rPr>
        <w:t xml:space="preserve"> </w:t>
      </w:r>
      <w:r w:rsidR="00BD57F0" w:rsidRPr="005A3CBC">
        <w:rPr>
          <w:rFonts w:ascii="Arial" w:hAnsi="Arial" w:cs="Arial"/>
        </w:rPr>
        <w:t xml:space="preserve">available for student use. There is a public area consisting of 18 computers that can be converted between classroom and student use as needed. Services provided by the library include reference assistance and consultation, mediated literature searching, photocopying, interlibrary loan, and training sessions on </w:t>
      </w:r>
      <w:proofErr w:type="spellStart"/>
      <w:r w:rsidR="00BD57F0" w:rsidRPr="005A3CBC">
        <w:rPr>
          <w:rFonts w:ascii="Arial" w:hAnsi="Arial" w:cs="Arial"/>
        </w:rPr>
        <w:t>MedLINE</w:t>
      </w:r>
      <w:proofErr w:type="spellEnd"/>
      <w:r w:rsidR="00BD57F0" w:rsidRPr="005A3CBC">
        <w:rPr>
          <w:rFonts w:ascii="Arial" w:hAnsi="Arial" w:cs="Arial"/>
        </w:rPr>
        <w:t xml:space="preserve">, the Internet and World Wide Web, and other resources and skills. BUSPH faculty have electronic access to over 6500 journals including over 150 current journal titles on or related to public health. There are over 8600 electronic books and approximately 20,000 medical and science textbooks dating from the 1960s to the present available to access. The library provides access to 342 electronic databases and access to a variety of databases, including PubMed, BIOSIS, ERIC, </w:t>
      </w:r>
      <w:proofErr w:type="spellStart"/>
      <w:r w:rsidR="00BD57F0" w:rsidRPr="005A3CBC">
        <w:rPr>
          <w:rFonts w:ascii="Arial" w:hAnsi="Arial" w:cs="Arial"/>
        </w:rPr>
        <w:t>PsycInfo</w:t>
      </w:r>
      <w:proofErr w:type="spellEnd"/>
      <w:r w:rsidR="00BD57F0" w:rsidRPr="005A3CBC">
        <w:rPr>
          <w:rFonts w:ascii="Arial" w:hAnsi="Arial" w:cs="Arial"/>
        </w:rPr>
        <w:t xml:space="preserve">, Web of Science, and many others are available to eligible users. </w:t>
      </w:r>
    </w:p>
    <w:p w14:paraId="7066D81B" w14:textId="094BA607" w:rsidR="00E71EBE" w:rsidRPr="005A3CBC" w:rsidRDefault="00531766" w:rsidP="00E71EBE">
      <w:pPr>
        <w:rPr>
          <w:rFonts w:ascii="Arial" w:hAnsi="Arial" w:cs="Arial"/>
        </w:rPr>
      </w:pPr>
      <w:proofErr w:type="spellStart"/>
      <w:r w:rsidRPr="00454CDB">
        <w:rPr>
          <w:rFonts w:ascii="Arial" w:hAnsi="Arial" w:cs="Arial"/>
          <w:b/>
          <w:bCs/>
        </w:rPr>
        <w:t>Mugar</w:t>
      </w:r>
      <w:proofErr w:type="spellEnd"/>
      <w:r w:rsidRPr="00454CDB">
        <w:rPr>
          <w:rFonts w:ascii="Arial" w:hAnsi="Arial" w:cs="Arial"/>
          <w:b/>
          <w:bCs/>
        </w:rPr>
        <w:t xml:space="preserve"> Memorial Library:</w:t>
      </w:r>
      <w:r w:rsidRPr="005A3CBC">
        <w:rPr>
          <w:rFonts w:ascii="Arial" w:hAnsi="Arial" w:cs="Arial"/>
        </w:rPr>
        <w:t xml:space="preserve"> </w:t>
      </w:r>
      <w:proofErr w:type="spellStart"/>
      <w:r w:rsidRPr="005A3CBC">
        <w:rPr>
          <w:rFonts w:ascii="Arial" w:hAnsi="Arial" w:cs="Arial"/>
        </w:rPr>
        <w:t>Mugar</w:t>
      </w:r>
      <w:proofErr w:type="spellEnd"/>
      <w:r w:rsidRPr="005A3CBC">
        <w:rPr>
          <w:rFonts w:ascii="Arial" w:hAnsi="Arial" w:cs="Arial"/>
        </w:rPr>
        <w:t xml:space="preserve"> Library is the major research library at Boston University. One of </w:t>
      </w:r>
      <w:proofErr w:type="gramStart"/>
      <w:r w:rsidRPr="005A3CBC">
        <w:rPr>
          <w:rFonts w:ascii="Arial" w:hAnsi="Arial" w:cs="Arial"/>
        </w:rPr>
        <w:t>23</w:t>
      </w:r>
      <w:proofErr w:type="gramEnd"/>
      <w:r w:rsidRPr="005A3CBC">
        <w:rPr>
          <w:rFonts w:ascii="Arial" w:hAnsi="Arial" w:cs="Arial"/>
        </w:rPr>
        <w:t xml:space="preserve"> libraries on campus, </w:t>
      </w:r>
      <w:proofErr w:type="spellStart"/>
      <w:r w:rsidRPr="005A3CBC">
        <w:rPr>
          <w:rFonts w:ascii="Arial" w:hAnsi="Arial" w:cs="Arial"/>
        </w:rPr>
        <w:t>Mugar</w:t>
      </w:r>
      <w:proofErr w:type="spellEnd"/>
      <w:r w:rsidRPr="005A3CBC">
        <w:rPr>
          <w:rFonts w:ascii="Arial" w:hAnsi="Arial" w:cs="Arial"/>
        </w:rPr>
        <w:t xml:space="preserve"> Memorial Library offers more than 2 million volumes, 4 million microform items, and thousands of current serial subscriptions. In addition to traditional reference assistance, </w:t>
      </w:r>
      <w:proofErr w:type="spellStart"/>
      <w:r w:rsidRPr="005A3CBC">
        <w:rPr>
          <w:rFonts w:ascii="Arial" w:hAnsi="Arial" w:cs="Arial"/>
        </w:rPr>
        <w:t>Mugar</w:t>
      </w:r>
      <w:proofErr w:type="spellEnd"/>
      <w:r w:rsidRPr="005A3CBC">
        <w:rPr>
          <w:rFonts w:ascii="Arial" w:hAnsi="Arial" w:cs="Arial"/>
        </w:rPr>
        <w:t xml:space="preserve"> Library offers computerized literature searching through compact disc and online system. An online catalog links the several major libraries at Boston University. As a founding member of the Boston Library Consortium, </w:t>
      </w:r>
      <w:proofErr w:type="spellStart"/>
      <w:r w:rsidRPr="005A3CBC">
        <w:rPr>
          <w:rFonts w:ascii="Arial" w:hAnsi="Arial" w:cs="Arial"/>
        </w:rPr>
        <w:t>Mugar</w:t>
      </w:r>
      <w:proofErr w:type="spellEnd"/>
      <w:r w:rsidRPr="005A3CBC">
        <w:rPr>
          <w:rFonts w:ascii="Arial" w:hAnsi="Arial" w:cs="Arial"/>
        </w:rPr>
        <w:t xml:space="preserve"> Library and the other Boston University libraries provide access to the holdings of many other research collections in the area, more than 20 million volumes in paper and as many in microform.</w:t>
      </w:r>
    </w:p>
    <w:p w14:paraId="2F8A5316" w14:textId="50E45E75" w:rsidR="00AB7C0E" w:rsidRPr="002B455A" w:rsidRDefault="00AB7C0E" w:rsidP="005A3CBC">
      <w:pPr>
        <w:rPr>
          <w:rFonts w:ascii="Arial" w:hAnsi="Arial" w:cs="Arial"/>
          <w:b/>
          <w:bCs/>
        </w:rPr>
      </w:pPr>
      <w:r w:rsidRPr="002B455A">
        <w:rPr>
          <w:rFonts w:ascii="Arial" w:hAnsi="Arial" w:cs="Arial"/>
          <w:b/>
          <w:bCs/>
        </w:rPr>
        <w:t>BU Office of Information Technology (IT)</w:t>
      </w:r>
    </w:p>
    <w:p w14:paraId="04DA5155" w14:textId="5DB413EC" w:rsidR="00AB7C0E" w:rsidRPr="005A3CBC" w:rsidRDefault="00AB7C0E" w:rsidP="00AB7C0E">
      <w:pPr>
        <w:rPr>
          <w:rFonts w:ascii="Arial" w:eastAsia="Calibri" w:hAnsi="Arial" w:cs="Arial"/>
          <w:kern w:val="0"/>
          <w14:ligatures w14:val="none"/>
        </w:rPr>
      </w:pPr>
      <w:r w:rsidRPr="005A3CBC">
        <w:rPr>
          <w:rFonts w:ascii="Arial" w:eastAsia="Calibri" w:hAnsi="Arial" w:cs="Arial"/>
          <w:kern w:val="0"/>
          <w14:ligatures w14:val="none"/>
        </w:rPr>
        <w:t xml:space="preserve">Boston University has extensive information technology infrastructure, with network file storage on password-protected servers with daily off-site back-up and remote access available using VPN software. Wireless connections provide access for students and faculty with laptop computers and other mobile devices from anywhere on the Medical Campus. The Office of Information Technology (OIT) provides central computing facilities </w:t>
      </w:r>
      <w:proofErr w:type="gramStart"/>
      <w:r w:rsidRPr="005A3CBC">
        <w:rPr>
          <w:rFonts w:ascii="Arial" w:eastAsia="Calibri" w:hAnsi="Arial" w:cs="Arial"/>
          <w:kern w:val="0"/>
          <w14:ligatures w14:val="none"/>
        </w:rPr>
        <w:t>to</w:t>
      </w:r>
      <w:proofErr w:type="gramEnd"/>
      <w:r w:rsidRPr="005A3CBC">
        <w:rPr>
          <w:rFonts w:ascii="Arial" w:eastAsia="Calibri" w:hAnsi="Arial" w:cs="Arial"/>
          <w:kern w:val="0"/>
          <w14:ligatures w14:val="none"/>
        </w:rPr>
        <w:t xml:space="preserve"> the faculty and staff of the BUMC. These include sixteen Intel-based servers managing centralized network services including Microsoft Exchange groupware, VPN support, and file and backup services. The </w:t>
      </w:r>
      <w:proofErr w:type="gramStart"/>
      <w:r w:rsidRPr="005A3CBC">
        <w:rPr>
          <w:rFonts w:ascii="Arial" w:eastAsia="Calibri" w:hAnsi="Arial" w:cs="Arial"/>
          <w:kern w:val="0"/>
          <w14:ligatures w14:val="none"/>
        </w:rPr>
        <w:lastRenderedPageBreak/>
        <w:t>School</w:t>
      </w:r>
      <w:proofErr w:type="gramEnd"/>
      <w:r w:rsidRPr="005A3CBC">
        <w:rPr>
          <w:rFonts w:ascii="Arial" w:eastAsia="Calibri" w:hAnsi="Arial" w:cs="Arial"/>
          <w:kern w:val="0"/>
          <w14:ligatures w14:val="none"/>
        </w:rPr>
        <w:t xml:space="preserve"> supports about 300 workstations and 50 printers on the network, which is connected to the rest of BU’s campus network and the internet via a DS3 ring.</w:t>
      </w:r>
    </w:p>
    <w:p w14:paraId="466EDF27" w14:textId="77777777" w:rsidR="00AB7C0E" w:rsidRPr="005A3CBC" w:rsidRDefault="00AB7C0E" w:rsidP="00AB7C0E">
      <w:pPr>
        <w:rPr>
          <w:rFonts w:ascii="Arial" w:eastAsia="Calibri" w:hAnsi="Arial" w:cs="Arial"/>
          <w:kern w:val="0"/>
          <w14:ligatures w14:val="none"/>
        </w:rPr>
      </w:pPr>
      <w:r w:rsidRPr="005A3CBC">
        <w:rPr>
          <w:rFonts w:ascii="Arial" w:eastAsia="Calibri" w:hAnsi="Arial" w:cs="Arial"/>
          <w:kern w:val="0"/>
          <w14:ligatures w14:val="none"/>
        </w:rPr>
        <w:t xml:space="preserve">In addition, BU investigators can freely access the programming and computational infrastructure of the Scientific Computing and Visualization group at Boston University. This includes a shared computing cluster, which currently comprises approximately 17,000 CPU cores, 360 GPUs, and over 4.5 PB of disk for research data. The </w:t>
      </w:r>
      <w:proofErr w:type="gramStart"/>
      <w:r w:rsidRPr="005A3CBC">
        <w:rPr>
          <w:rFonts w:ascii="Arial" w:eastAsia="Calibri" w:hAnsi="Arial" w:cs="Arial"/>
          <w:kern w:val="0"/>
          <w14:ligatures w14:val="none"/>
        </w:rPr>
        <w:t>compute</w:t>
      </w:r>
      <w:proofErr w:type="gramEnd"/>
      <w:r w:rsidRPr="005A3CBC">
        <w:rPr>
          <w:rFonts w:ascii="Arial" w:eastAsia="Calibri" w:hAnsi="Arial" w:cs="Arial"/>
          <w:kern w:val="0"/>
          <w14:ligatures w14:val="none"/>
        </w:rPr>
        <w:t xml:space="preserve"> nodes are interconnected with a variety of fabrics: EDR, FDR, and QDR InfiniBand for multi-node parallel jobs, 10 GigE for data intensive jobs and GigE for general purpose compute jobs running within a single node.</w:t>
      </w:r>
    </w:p>
    <w:p w14:paraId="52C8B5D4" w14:textId="325F438C" w:rsidR="00491580" w:rsidRPr="005A3CBC" w:rsidRDefault="00AB7C0E" w:rsidP="00A43A23">
      <w:pPr>
        <w:rPr>
          <w:rFonts w:ascii="Arial" w:eastAsia="Calibri" w:hAnsi="Arial" w:cs="Arial"/>
          <w:kern w:val="0"/>
          <w14:ligatures w14:val="none"/>
        </w:rPr>
      </w:pPr>
      <w:r w:rsidRPr="005A3CBC">
        <w:rPr>
          <w:rFonts w:ascii="Arial" w:eastAsia="Calibri" w:hAnsi="Arial" w:cs="Arial"/>
          <w:kern w:val="0"/>
          <w14:ligatures w14:val="none"/>
        </w:rPr>
        <w:t xml:space="preserve">More generally, investigators have desktop access to multiple relevant software packages. Boston University site licensing includes but is not limited to Microsoft Office, ArcGIS, SAS, JMP, and mathematical and scientific software such as LabVIEW, Maple, Mathematica, MATLAB, and SPLUS. Several utility software programs are also provided via site licensing, such as McAfee VirusScan, </w:t>
      </w:r>
      <w:proofErr w:type="spellStart"/>
      <w:r w:rsidRPr="005A3CBC">
        <w:rPr>
          <w:rFonts w:ascii="Arial" w:eastAsia="Calibri" w:hAnsi="Arial" w:cs="Arial"/>
          <w:kern w:val="0"/>
          <w14:ligatures w14:val="none"/>
        </w:rPr>
        <w:t>PaperCut</w:t>
      </w:r>
      <w:proofErr w:type="spellEnd"/>
      <w:r w:rsidRPr="005A3CBC">
        <w:rPr>
          <w:rFonts w:ascii="Arial" w:eastAsia="Calibri" w:hAnsi="Arial" w:cs="Arial"/>
          <w:kern w:val="0"/>
          <w14:ligatures w14:val="none"/>
        </w:rPr>
        <w:t xml:space="preserve">, FTP, VPN, and X Window System. </w:t>
      </w:r>
    </w:p>
    <w:p w14:paraId="6C94888A" w14:textId="362D0B19" w:rsidR="00955F6C" w:rsidRPr="005A3CBC" w:rsidRDefault="00157FFB" w:rsidP="00157FFB">
      <w:pPr>
        <w:autoSpaceDE w:val="0"/>
        <w:autoSpaceDN w:val="0"/>
        <w:adjustRightInd w:val="0"/>
        <w:spacing w:after="0" w:line="240" w:lineRule="auto"/>
        <w:rPr>
          <w:rFonts w:ascii="Arial" w:hAnsi="Arial" w:cs="Arial"/>
          <w:kern w:val="0"/>
        </w:rPr>
      </w:pPr>
      <w:r w:rsidRPr="005A3CBC">
        <w:rPr>
          <w:rFonts w:ascii="Arial" w:hAnsi="Arial" w:cs="Arial"/>
          <w:kern w:val="0"/>
        </w:rPr>
        <w:t xml:space="preserve">All SPH faculty and staff have access to individual work </w:t>
      </w:r>
      <w:proofErr w:type="gramStart"/>
      <w:r w:rsidRPr="005A3CBC">
        <w:rPr>
          <w:rFonts w:ascii="Arial" w:hAnsi="Arial" w:cs="Arial"/>
          <w:kern w:val="0"/>
        </w:rPr>
        <w:t>computers</w:t>
      </w:r>
      <w:proofErr w:type="gramEnd"/>
      <w:r w:rsidRPr="005A3CBC">
        <w:rPr>
          <w:rFonts w:ascii="Arial" w:hAnsi="Arial" w:cs="Arial"/>
          <w:kern w:val="0"/>
        </w:rPr>
        <w:t xml:space="preserve"> that have individual storage space and access to network drive space for file storage, internet and e-mail access. Virtual private network connections allow remote access to the networked drives and access to all online resources to which Boston University subscribes. Software site licenses make available Microsoft Office software, statistical software packages (SPSS, SAS, STATA, etc.), citation managers (Mendeley Reference Manager, Endnotes), and database and survey software (</w:t>
      </w:r>
      <w:proofErr w:type="spellStart"/>
      <w:proofErr w:type="gramStart"/>
      <w:r w:rsidRPr="005A3CBC">
        <w:rPr>
          <w:rFonts w:ascii="Arial" w:hAnsi="Arial" w:cs="Arial"/>
          <w:kern w:val="0"/>
        </w:rPr>
        <w:t>REDCap,etc</w:t>
      </w:r>
      <w:proofErr w:type="spellEnd"/>
      <w:r w:rsidRPr="005A3CBC">
        <w:rPr>
          <w:rFonts w:ascii="Arial" w:hAnsi="Arial" w:cs="Arial"/>
          <w:kern w:val="0"/>
        </w:rPr>
        <w:t>.</w:t>
      </w:r>
      <w:proofErr w:type="gramEnd"/>
      <w:r w:rsidRPr="005A3CBC">
        <w:rPr>
          <w:rFonts w:ascii="Arial" w:hAnsi="Arial" w:cs="Arial"/>
          <w:kern w:val="0"/>
        </w:rPr>
        <w:t>).</w:t>
      </w:r>
    </w:p>
    <w:p w14:paraId="3A1D5F9A" w14:textId="77777777" w:rsidR="00955F6C" w:rsidRPr="005A3CBC" w:rsidRDefault="00955F6C" w:rsidP="00157FFB">
      <w:pPr>
        <w:autoSpaceDE w:val="0"/>
        <w:autoSpaceDN w:val="0"/>
        <w:adjustRightInd w:val="0"/>
        <w:spacing w:after="0" w:line="240" w:lineRule="auto"/>
        <w:rPr>
          <w:rFonts w:ascii="Arial" w:hAnsi="Arial" w:cs="Arial"/>
          <w:kern w:val="0"/>
        </w:rPr>
      </w:pPr>
    </w:p>
    <w:p w14:paraId="20148883" w14:textId="77777777" w:rsidR="00955F6C" w:rsidRPr="002B455A" w:rsidRDefault="00955F6C" w:rsidP="005A3CBC">
      <w:pPr>
        <w:rPr>
          <w:rStyle w:val="Heading2Char"/>
          <w:rFonts w:ascii="Arial" w:hAnsi="Arial" w:cs="Arial"/>
          <w:b/>
          <w:bCs/>
          <w:i/>
          <w:iCs/>
          <w:color w:val="auto"/>
          <w:sz w:val="22"/>
          <w:szCs w:val="22"/>
        </w:rPr>
      </w:pPr>
      <w:r w:rsidRPr="002B455A">
        <w:rPr>
          <w:rStyle w:val="Heading2Char"/>
          <w:rFonts w:ascii="Arial" w:hAnsi="Arial" w:cs="Arial"/>
          <w:b/>
          <w:bCs/>
          <w:color w:val="auto"/>
          <w:sz w:val="22"/>
          <w:szCs w:val="22"/>
        </w:rPr>
        <w:t xml:space="preserve">The Institutional Review Board (IRB) </w:t>
      </w:r>
    </w:p>
    <w:p w14:paraId="7E17BC8D" w14:textId="597855BF" w:rsidR="00FA2337" w:rsidRPr="005A3CBC" w:rsidRDefault="00955F6C" w:rsidP="00FF6B1B">
      <w:pPr>
        <w:rPr>
          <w:rFonts w:ascii="Arial" w:hAnsi="Arial" w:cs="Arial"/>
        </w:rPr>
      </w:pPr>
      <w:r w:rsidRPr="005A3CBC">
        <w:rPr>
          <w:rFonts w:ascii="Arial" w:hAnsi="Arial" w:cs="Arial"/>
        </w:rPr>
        <w:t xml:space="preserve">The IRB provides ethical review of human </w:t>
      </w:r>
      <w:proofErr w:type="gramStart"/>
      <w:r w:rsidRPr="005A3CBC">
        <w:rPr>
          <w:rFonts w:ascii="Arial" w:hAnsi="Arial" w:cs="Arial"/>
        </w:rPr>
        <w:t>subjects</w:t>
      </w:r>
      <w:proofErr w:type="gramEnd"/>
      <w:r w:rsidRPr="005A3CBC">
        <w:rPr>
          <w:rFonts w:ascii="Arial" w:hAnsi="Arial" w:cs="Arial"/>
        </w:rPr>
        <w:t xml:space="preserve"> research to protect the rights and welfare of human subjects of research and to assure that human research is conducted according to applicable federal, state, and local laws and regulations and the relevant policies of the Human Research Protection Program, Boston Medical C</w:t>
      </w:r>
      <w:r w:rsidR="00146E52">
        <w:rPr>
          <w:rFonts w:ascii="Arial" w:hAnsi="Arial" w:cs="Arial"/>
        </w:rPr>
        <w:t>ampus</w:t>
      </w:r>
      <w:r w:rsidRPr="005A3CBC">
        <w:rPr>
          <w:rFonts w:ascii="Arial" w:hAnsi="Arial" w:cs="Arial"/>
        </w:rPr>
        <w:t>, and Boston University. The IRB uses an online protocol submission and review system, called INSPIR, which provides a collaborative workspace for the IRB and the human subjects research community. Principal Investigators and their study teams can initiate new study applications, make amendments to existing studies, submit continuing review applications and report safety events through this site. The IRB meets regularly to review new studies, amendments to existing studies, and progress updates and study close-out. Principal Investigators and their study teams are notified in a timely manner of any edits or changes that need to be made to IRB applications. The staff at the BU IRB also provide technical assistance and respond timely to questions during the application preparation and submission process. The Federal Wide Assurance Number for the Boston University Medical Campus IRB is FWA00000301.</w:t>
      </w:r>
    </w:p>
    <w:p w14:paraId="0F7EBF62" w14:textId="0EB61616" w:rsidR="006D0391" w:rsidRPr="007D1957" w:rsidRDefault="00F95798" w:rsidP="00F128CB">
      <w:pPr>
        <w:rPr>
          <w:rFonts w:ascii="Arial" w:hAnsi="Arial" w:cs="Arial"/>
          <w:b/>
          <w:bCs/>
          <w:u w:val="single"/>
        </w:rPr>
      </w:pPr>
      <w:r w:rsidRPr="007D1957">
        <w:rPr>
          <w:rFonts w:ascii="Arial" w:hAnsi="Arial" w:cs="Arial"/>
          <w:b/>
          <w:bCs/>
          <w:u w:val="single"/>
        </w:rPr>
        <w:t>B</w:t>
      </w:r>
      <w:r w:rsidR="003D0A1E" w:rsidRPr="007D1957">
        <w:rPr>
          <w:rFonts w:ascii="Arial" w:hAnsi="Arial" w:cs="Arial"/>
          <w:b/>
          <w:bCs/>
          <w:u w:val="single"/>
        </w:rPr>
        <w:t xml:space="preserve">U </w:t>
      </w:r>
      <w:r w:rsidR="00E76213" w:rsidRPr="007D1957">
        <w:rPr>
          <w:rFonts w:ascii="Arial" w:hAnsi="Arial" w:cs="Arial"/>
          <w:b/>
          <w:bCs/>
          <w:u w:val="single"/>
        </w:rPr>
        <w:t>School of Public Health</w:t>
      </w:r>
      <w:r w:rsidR="0096322F" w:rsidRPr="007D1957">
        <w:rPr>
          <w:rFonts w:ascii="Arial" w:hAnsi="Arial" w:cs="Arial"/>
          <w:b/>
          <w:bCs/>
          <w:u w:val="single"/>
        </w:rPr>
        <w:t xml:space="preserve"> </w:t>
      </w:r>
    </w:p>
    <w:p w14:paraId="5B3834DF" w14:textId="7BC4DD2F" w:rsidR="00D936D3" w:rsidRPr="005A3CBC" w:rsidRDefault="00D936D3" w:rsidP="00D936D3">
      <w:pPr>
        <w:rPr>
          <w:rFonts w:ascii="Arial" w:hAnsi="Arial" w:cs="Arial"/>
        </w:rPr>
      </w:pPr>
      <w:r w:rsidRPr="005A3CBC">
        <w:rPr>
          <w:rFonts w:ascii="Arial" w:hAnsi="Arial" w:cs="Arial"/>
        </w:rPr>
        <w:t>The Boston University School of Public Health (BUSPH), fully accredited by the Council of Education for Public Health (CEPH), is located at the Boston University Medical Campus</w:t>
      </w:r>
      <w:r w:rsidR="003D0A1E" w:rsidRPr="005A3CBC">
        <w:rPr>
          <w:rFonts w:ascii="Arial" w:hAnsi="Arial" w:cs="Arial"/>
        </w:rPr>
        <w:t xml:space="preserve"> (BUMC)</w:t>
      </w:r>
      <w:r w:rsidRPr="005A3CBC">
        <w:rPr>
          <w:rFonts w:ascii="Arial" w:hAnsi="Arial" w:cs="Arial"/>
        </w:rPr>
        <w:t>, and is designed to meet the educational needs of current and future public health professionals. BUS</w:t>
      </w:r>
      <w:r w:rsidR="00E358F7" w:rsidRPr="005A3CBC">
        <w:rPr>
          <w:rFonts w:ascii="Arial" w:hAnsi="Arial" w:cs="Arial"/>
        </w:rPr>
        <w:t>P</w:t>
      </w:r>
      <w:r w:rsidRPr="005A3CBC">
        <w:rPr>
          <w:rFonts w:ascii="Arial" w:hAnsi="Arial" w:cs="Arial"/>
        </w:rPr>
        <w:t xml:space="preserve">H is </w:t>
      </w:r>
      <w:r w:rsidR="00E358F7" w:rsidRPr="005A3CBC">
        <w:rPr>
          <w:rFonts w:ascii="Arial" w:hAnsi="Arial" w:cs="Arial"/>
        </w:rPr>
        <w:t xml:space="preserve">consistently ranked as one of the top ten </w:t>
      </w:r>
      <w:r w:rsidRPr="005A3CBC">
        <w:rPr>
          <w:rFonts w:ascii="Arial" w:hAnsi="Arial" w:cs="Arial"/>
        </w:rPr>
        <w:t>schools of public health. BUSPH has 3</w:t>
      </w:r>
      <w:r w:rsidR="003B1D9F" w:rsidRPr="005A3CBC">
        <w:rPr>
          <w:rFonts w:ascii="Arial" w:hAnsi="Arial" w:cs="Arial"/>
        </w:rPr>
        <w:t>20</w:t>
      </w:r>
      <w:r w:rsidRPr="005A3CBC">
        <w:rPr>
          <w:rFonts w:ascii="Arial" w:hAnsi="Arial" w:cs="Arial"/>
        </w:rPr>
        <w:t xml:space="preserve"> faculty and 231 staff, roughly 1,000 students and more than 10,000 alumni. The </w:t>
      </w:r>
      <w:proofErr w:type="gramStart"/>
      <w:r w:rsidRPr="005A3CBC">
        <w:rPr>
          <w:rFonts w:ascii="Arial" w:hAnsi="Arial" w:cs="Arial"/>
        </w:rPr>
        <w:t>School</w:t>
      </w:r>
      <w:proofErr w:type="gramEnd"/>
      <w:r w:rsidRPr="005A3CBC">
        <w:rPr>
          <w:rFonts w:ascii="Arial" w:hAnsi="Arial" w:cs="Arial"/>
        </w:rPr>
        <w:t xml:space="preserve"> offers both full- and part</w:t>
      </w:r>
      <w:proofErr w:type="gramStart"/>
      <w:r w:rsidRPr="005A3CBC">
        <w:rPr>
          <w:rFonts w:ascii="Arial" w:hAnsi="Arial" w:cs="Arial"/>
        </w:rPr>
        <w:t>- time</w:t>
      </w:r>
      <w:proofErr w:type="gramEnd"/>
      <w:r w:rsidRPr="005A3CBC">
        <w:rPr>
          <w:rFonts w:ascii="Arial" w:hAnsi="Arial" w:cs="Arial"/>
        </w:rPr>
        <w:t xml:space="preserve"> courses of study. Through its teaching and research programs, the </w:t>
      </w:r>
      <w:proofErr w:type="gramStart"/>
      <w:r w:rsidRPr="005A3CBC">
        <w:rPr>
          <w:rFonts w:ascii="Arial" w:hAnsi="Arial" w:cs="Arial"/>
        </w:rPr>
        <w:t>School</w:t>
      </w:r>
      <w:proofErr w:type="gramEnd"/>
      <w:r w:rsidRPr="005A3CBC">
        <w:rPr>
          <w:rFonts w:ascii="Arial" w:hAnsi="Arial" w:cs="Arial"/>
        </w:rPr>
        <w:t xml:space="preserve"> provides students with an </w:t>
      </w:r>
      <w:r w:rsidR="00CC6610" w:rsidRPr="005A3CBC">
        <w:rPr>
          <w:rFonts w:ascii="Arial" w:hAnsi="Arial" w:cs="Arial"/>
        </w:rPr>
        <w:t>interdisciplinary</w:t>
      </w:r>
      <w:r w:rsidRPr="005A3CBC">
        <w:rPr>
          <w:rFonts w:ascii="Arial" w:hAnsi="Arial" w:cs="Arial"/>
        </w:rPr>
        <w:t xml:space="preserve"> graduate education that offers opportunities for both intellectual and professional advancement.</w:t>
      </w:r>
    </w:p>
    <w:p w14:paraId="6754DE7D" w14:textId="2B131D4B" w:rsidR="00D936D3" w:rsidRPr="005A3CBC" w:rsidRDefault="00D936D3" w:rsidP="00D936D3">
      <w:pPr>
        <w:rPr>
          <w:rFonts w:ascii="Arial" w:hAnsi="Arial" w:cs="Arial"/>
        </w:rPr>
      </w:pPr>
      <w:r w:rsidRPr="005A3CBC">
        <w:rPr>
          <w:rFonts w:ascii="Arial" w:hAnsi="Arial" w:cs="Arial"/>
        </w:rPr>
        <w:t xml:space="preserve">BUSPH has 6 departments, </w:t>
      </w:r>
      <w:r w:rsidR="0090193A" w:rsidRPr="005A3CBC">
        <w:rPr>
          <w:rFonts w:ascii="Arial" w:hAnsi="Arial" w:cs="Arial"/>
        </w:rPr>
        <w:t>19-degree</w:t>
      </w:r>
      <w:r w:rsidRPr="005A3CBC">
        <w:rPr>
          <w:rFonts w:ascii="Arial" w:hAnsi="Arial" w:cs="Arial"/>
        </w:rPr>
        <w:t xml:space="preserve"> programs</w:t>
      </w:r>
      <w:r w:rsidR="0090193A" w:rsidRPr="005A3CBC">
        <w:rPr>
          <w:rFonts w:ascii="Arial" w:hAnsi="Arial" w:cs="Arial"/>
        </w:rPr>
        <w:t>,</w:t>
      </w:r>
      <w:r w:rsidRPr="005A3CBC">
        <w:rPr>
          <w:rFonts w:ascii="Arial" w:hAnsi="Arial" w:cs="Arial"/>
        </w:rPr>
        <w:t xml:space="preserve"> and 8 dual degree programs that integrate classroom education, research, and field experience. Students at all academic levels assist faculty members in a wide range of public health research. With a rare concentration of top hospitals, medical research, science and technology, and health-related companies and agencies, Boston offers an outstanding backdrop for the study of public health. SPH students immerse themselves in this tailor-made learning environment through fieldwork, networking, and engagement with public health lectures and events.</w:t>
      </w:r>
    </w:p>
    <w:p w14:paraId="2A62D76E" w14:textId="0F5D7D2B" w:rsidR="00A437BA" w:rsidRPr="005A3CBC" w:rsidRDefault="00A437BA" w:rsidP="00D936D3">
      <w:pPr>
        <w:rPr>
          <w:rFonts w:ascii="Arial" w:hAnsi="Arial" w:cs="Arial"/>
        </w:rPr>
      </w:pPr>
      <w:r w:rsidRPr="005A3CBC">
        <w:rPr>
          <w:rFonts w:ascii="Arial" w:hAnsi="Arial" w:cs="Arial"/>
        </w:rPr>
        <w:t xml:space="preserve">BUSPH receives approximately </w:t>
      </w:r>
      <w:r w:rsidR="00E358F7" w:rsidRPr="005A3CBC">
        <w:rPr>
          <w:rFonts w:ascii="Arial" w:hAnsi="Arial" w:cs="Arial"/>
        </w:rPr>
        <w:t xml:space="preserve">$74 </w:t>
      </w:r>
      <w:r w:rsidR="0090193A" w:rsidRPr="005A3CBC">
        <w:rPr>
          <w:rFonts w:ascii="Arial" w:hAnsi="Arial" w:cs="Arial"/>
        </w:rPr>
        <w:t xml:space="preserve">million </w:t>
      </w:r>
      <w:r w:rsidR="00E358F7" w:rsidRPr="005A3CBC">
        <w:rPr>
          <w:rFonts w:ascii="Arial" w:hAnsi="Arial" w:cs="Arial"/>
        </w:rPr>
        <w:t>per</w:t>
      </w:r>
      <w:r w:rsidRPr="005A3CBC">
        <w:rPr>
          <w:rFonts w:ascii="Arial" w:hAnsi="Arial" w:cs="Arial"/>
        </w:rPr>
        <w:t xml:space="preserve"> year in grant funding from a broad range of funders, including governmental agencies like the National Institutes of Health (NIH), the Centers for Disease Control and </w:t>
      </w:r>
      <w:r w:rsidRPr="005A3CBC">
        <w:rPr>
          <w:rFonts w:ascii="Arial" w:hAnsi="Arial" w:cs="Arial"/>
        </w:rPr>
        <w:lastRenderedPageBreak/>
        <w:t>Prevention (CDC), the US Department of Veterans Affairs (VA), the World Health Organization (WHO), and several private foundations.</w:t>
      </w:r>
    </w:p>
    <w:p w14:paraId="212C2F99" w14:textId="02223E50" w:rsidR="00FD01E4" w:rsidRPr="005A3CBC" w:rsidRDefault="0045585C" w:rsidP="00E21437">
      <w:pPr>
        <w:rPr>
          <w:rFonts w:ascii="Arial" w:hAnsi="Arial" w:cs="Arial"/>
        </w:rPr>
      </w:pPr>
      <w:r w:rsidRPr="005A3CBC">
        <w:rPr>
          <w:rFonts w:ascii="Arial" w:hAnsi="Arial" w:cs="Arial"/>
        </w:rPr>
        <w:t>The</w:t>
      </w:r>
      <w:r w:rsidR="00D936D3" w:rsidRPr="005A3CBC">
        <w:rPr>
          <w:rFonts w:ascii="Arial" w:hAnsi="Arial" w:cs="Arial"/>
        </w:rPr>
        <w:t xml:space="preserve"> </w:t>
      </w:r>
      <w:r w:rsidR="00885AC7" w:rsidRPr="005A3CBC">
        <w:rPr>
          <w:rFonts w:ascii="Arial" w:hAnsi="Arial" w:cs="Arial"/>
        </w:rPr>
        <w:t xml:space="preserve">historic </w:t>
      </w:r>
      <w:r w:rsidR="00D936D3" w:rsidRPr="005A3CBC">
        <w:rPr>
          <w:rFonts w:ascii="Arial" w:hAnsi="Arial" w:cs="Arial"/>
        </w:rPr>
        <w:t>Talbot Building at BUMC houses the main offices of the School of Public Health, which consists of 48,000 square feet of space and includes 153 offices, seven departmental conference rooms, two large meeting rooms, and a Media Room with state-of- the-art audiovisual equipment. The Talbot building houses about one-half of BUSPH, the other half of which is in a nearby facility, the Crosstown Building. SPH’s growing research portfolio is one of the largest at BU. Our faculty members are actively engaged in groundbreaking research that informs not only our curriculum and scientific understanding but also public policy. From large, epidemiologic studies to bench science, the research and scholarship at BUSPH continue to improve the overall practice of public health.</w:t>
      </w:r>
    </w:p>
    <w:p w14:paraId="55439FFD" w14:textId="5B77D529" w:rsidR="00514E81" w:rsidRPr="005A3CBC" w:rsidRDefault="003D0A1E" w:rsidP="00050F80">
      <w:pPr>
        <w:rPr>
          <w:rFonts w:ascii="Arial" w:hAnsi="Arial" w:cs="Arial"/>
        </w:rPr>
      </w:pPr>
      <w:r w:rsidRPr="005A3CBC">
        <w:rPr>
          <w:rFonts w:ascii="Arial" w:hAnsi="Arial" w:cs="Arial"/>
        </w:rPr>
        <w:t>BU</w:t>
      </w:r>
      <w:r w:rsidR="001F22B0" w:rsidRPr="005A3CBC">
        <w:rPr>
          <w:rFonts w:ascii="Arial" w:hAnsi="Arial" w:cs="Arial"/>
        </w:rPr>
        <w:t xml:space="preserve">SPH has 4,300 square feet of </w:t>
      </w:r>
      <w:proofErr w:type="gramStart"/>
      <w:r w:rsidR="001F22B0" w:rsidRPr="005A3CBC">
        <w:rPr>
          <w:rFonts w:ascii="Arial" w:hAnsi="Arial" w:cs="Arial"/>
        </w:rPr>
        <w:t>fully equipped,</w:t>
      </w:r>
      <w:proofErr w:type="gramEnd"/>
      <w:r w:rsidR="001F22B0" w:rsidRPr="005A3CBC">
        <w:rPr>
          <w:rFonts w:ascii="Arial" w:hAnsi="Arial" w:cs="Arial"/>
        </w:rPr>
        <w:t xml:space="preserve"> renovated laboratory space in the Housman Building. </w:t>
      </w:r>
      <w:r w:rsidRPr="005A3CBC">
        <w:rPr>
          <w:rFonts w:ascii="Arial" w:hAnsi="Arial" w:cs="Arial"/>
        </w:rPr>
        <w:t>T</w:t>
      </w:r>
      <w:r w:rsidR="001F22B0" w:rsidRPr="005A3CBC">
        <w:rPr>
          <w:rFonts w:ascii="Arial" w:hAnsi="Arial" w:cs="Arial"/>
        </w:rPr>
        <w:t xml:space="preserve">he laboratories are adjacent to shared equipment rooms, a dark room, and a cold room. They are conveniently located near </w:t>
      </w:r>
      <w:proofErr w:type="gramStart"/>
      <w:r w:rsidR="001F22B0" w:rsidRPr="005A3CBC">
        <w:rPr>
          <w:rFonts w:ascii="Arial" w:hAnsi="Arial" w:cs="Arial"/>
        </w:rPr>
        <w:t>a number of</w:t>
      </w:r>
      <w:proofErr w:type="gramEnd"/>
      <w:r w:rsidR="001F22B0" w:rsidRPr="005A3CBC">
        <w:rPr>
          <w:rFonts w:ascii="Arial" w:hAnsi="Arial" w:cs="Arial"/>
        </w:rPr>
        <w:t xml:space="preserve"> BUMC core facilities, specifically the Laboratory Animal Science Center, Illumina Sequencing Core, Analytical Instrument Core, Biomedical Imaging Core, Cellular Imaging Core, Flow Cytometry Facility Core, High Throughput Screening Core, Immunohistochemistry Core, Microarray Resource, Molecular Genetics, and Proteomics.</w:t>
      </w:r>
    </w:p>
    <w:p w14:paraId="5495E300" w14:textId="7EE2AC59" w:rsidR="00595600" w:rsidRPr="005A3CBC" w:rsidRDefault="00595600" w:rsidP="00595600">
      <w:pPr>
        <w:spacing w:after="0" w:line="240" w:lineRule="auto"/>
        <w:rPr>
          <w:rFonts w:ascii="Arial" w:hAnsi="Arial" w:cs="Arial"/>
        </w:rPr>
      </w:pPr>
      <w:r w:rsidRPr="005A3CBC">
        <w:rPr>
          <w:rFonts w:ascii="Arial" w:hAnsi="Arial" w:cs="Arial"/>
        </w:rPr>
        <w:t xml:space="preserve">All </w:t>
      </w:r>
      <w:r w:rsidR="003D0A1E" w:rsidRPr="005A3CBC">
        <w:rPr>
          <w:rFonts w:ascii="Arial" w:hAnsi="Arial" w:cs="Arial"/>
        </w:rPr>
        <w:t>BU</w:t>
      </w:r>
      <w:r w:rsidRPr="005A3CBC">
        <w:rPr>
          <w:rFonts w:ascii="Arial" w:hAnsi="Arial" w:cs="Arial"/>
        </w:rPr>
        <w:t xml:space="preserve">SPH faculty and staff have access to individual work </w:t>
      </w:r>
      <w:proofErr w:type="gramStart"/>
      <w:r w:rsidRPr="005A3CBC">
        <w:rPr>
          <w:rFonts w:ascii="Arial" w:hAnsi="Arial" w:cs="Arial"/>
        </w:rPr>
        <w:t>computers</w:t>
      </w:r>
      <w:proofErr w:type="gramEnd"/>
      <w:r w:rsidRPr="005A3CBC">
        <w:rPr>
          <w:rFonts w:ascii="Arial" w:hAnsi="Arial" w:cs="Arial"/>
        </w:rPr>
        <w:t xml:space="preserve"> that have individual storage space and access to network drive space for file storage, internet and e-mail access. Virtual private network connections allow remote access to the networked drives and access to all online resources to which Boston University subscribes. Software site licenses make available Microsoft Office software, statistical software packages (SPSS, SAS, STATA, etc.), citation managers (Mendeley Reference Manager, Endnotes), and database and survey software (</w:t>
      </w:r>
      <w:proofErr w:type="spellStart"/>
      <w:r w:rsidRPr="005A3CBC">
        <w:rPr>
          <w:rFonts w:ascii="Arial" w:hAnsi="Arial" w:cs="Arial"/>
        </w:rPr>
        <w:t>REDCap</w:t>
      </w:r>
      <w:proofErr w:type="spellEnd"/>
      <w:r w:rsidRPr="005A3CBC">
        <w:rPr>
          <w:rFonts w:ascii="Arial" w:hAnsi="Arial" w:cs="Arial"/>
        </w:rPr>
        <w:t>, etc.).</w:t>
      </w:r>
    </w:p>
    <w:p w14:paraId="2C0325FB" w14:textId="77777777" w:rsidR="009942BB" w:rsidRDefault="009942BB" w:rsidP="005A3CBC">
      <w:pPr>
        <w:rPr>
          <w:rFonts w:ascii="Arial" w:hAnsi="Arial" w:cs="Arial"/>
        </w:rPr>
      </w:pPr>
    </w:p>
    <w:p w14:paraId="451329BA" w14:textId="646D5EAB" w:rsidR="006D0391" w:rsidRPr="009942BB" w:rsidRDefault="00382195" w:rsidP="005A3CBC">
      <w:pPr>
        <w:rPr>
          <w:rFonts w:ascii="Arial" w:hAnsi="Arial" w:cs="Arial"/>
          <w:b/>
          <w:bCs/>
          <w:u w:val="single"/>
        </w:rPr>
      </w:pPr>
      <w:r w:rsidRPr="009942BB">
        <w:rPr>
          <w:rFonts w:ascii="Arial" w:hAnsi="Arial" w:cs="Arial"/>
          <w:b/>
          <w:bCs/>
          <w:u w:val="single"/>
        </w:rPr>
        <w:t>BUSPH</w:t>
      </w:r>
      <w:r w:rsidR="00F95798" w:rsidRPr="009942BB">
        <w:rPr>
          <w:rFonts w:ascii="Arial" w:hAnsi="Arial" w:cs="Arial"/>
          <w:b/>
          <w:bCs/>
          <w:u w:val="single"/>
        </w:rPr>
        <w:t xml:space="preserve"> Departments</w:t>
      </w:r>
    </w:p>
    <w:p w14:paraId="35F9579F" w14:textId="202FF383" w:rsidR="006D2DF9" w:rsidRPr="009942BB" w:rsidRDefault="00E21437" w:rsidP="005A3CBC">
      <w:pPr>
        <w:rPr>
          <w:rFonts w:ascii="Arial" w:hAnsi="Arial" w:cs="Arial"/>
          <w:b/>
          <w:bCs/>
        </w:rPr>
      </w:pPr>
      <w:r w:rsidRPr="009942BB">
        <w:rPr>
          <w:rFonts w:ascii="Arial" w:hAnsi="Arial" w:cs="Arial"/>
          <w:b/>
          <w:bCs/>
        </w:rPr>
        <w:t>Department of Biostatistics:</w:t>
      </w:r>
    </w:p>
    <w:p w14:paraId="26A092A1" w14:textId="7EF1DF31" w:rsidR="00F95798" w:rsidRPr="005A3CBC" w:rsidRDefault="00E21437" w:rsidP="00F95798">
      <w:pPr>
        <w:rPr>
          <w:rFonts w:ascii="Arial" w:hAnsi="Arial" w:cs="Arial"/>
        </w:rPr>
      </w:pPr>
      <w:r w:rsidRPr="005A3CBC">
        <w:rPr>
          <w:rFonts w:ascii="Arial" w:hAnsi="Arial" w:cs="Arial"/>
        </w:rPr>
        <w:t xml:space="preserve">The Department of Biostatistics </w:t>
      </w:r>
      <w:r w:rsidR="001768B7" w:rsidRPr="005A3CBC">
        <w:rPr>
          <w:rFonts w:ascii="Arial" w:hAnsi="Arial" w:cs="Arial"/>
        </w:rPr>
        <w:t xml:space="preserve">includes </w:t>
      </w:r>
      <w:r w:rsidR="00FF6B1B" w:rsidRPr="005A3CBC">
        <w:rPr>
          <w:rFonts w:ascii="Arial" w:hAnsi="Arial" w:cs="Arial"/>
        </w:rPr>
        <w:t>58</w:t>
      </w:r>
      <w:r w:rsidRPr="005A3CBC">
        <w:rPr>
          <w:rFonts w:ascii="Arial" w:hAnsi="Arial" w:cs="Arial"/>
        </w:rPr>
        <w:t xml:space="preserve"> faculty members</w:t>
      </w:r>
      <w:r w:rsidR="001768B7" w:rsidRPr="005A3CBC">
        <w:rPr>
          <w:rFonts w:ascii="Arial" w:hAnsi="Arial" w:cs="Arial"/>
        </w:rPr>
        <w:t xml:space="preserve"> and </w:t>
      </w:r>
      <w:r w:rsidR="00FF6B1B" w:rsidRPr="005A3CBC">
        <w:rPr>
          <w:rFonts w:ascii="Arial" w:hAnsi="Arial" w:cs="Arial"/>
        </w:rPr>
        <w:t>11</w:t>
      </w:r>
      <w:r w:rsidR="001768B7" w:rsidRPr="005A3CBC">
        <w:rPr>
          <w:rFonts w:ascii="Arial" w:hAnsi="Arial" w:cs="Arial"/>
        </w:rPr>
        <w:t xml:space="preserve"> staff members. </w:t>
      </w:r>
      <w:r w:rsidR="00F95798" w:rsidRPr="005A3CBC">
        <w:rPr>
          <w:rFonts w:ascii="Arial" w:hAnsi="Arial" w:cs="Arial"/>
        </w:rPr>
        <w:t>The Department of Biostatistics is located on the Crosstown Center at the Boston University Medical Campus, occupying an 8,900-square-foot suite. This space is situated one floor below the BUMC Office of Information Technology, which manages the secure server room housing the BUSPH Biostatistics and Epidemiology Data Analytics Center (BEDAC) web and SQL servers.</w:t>
      </w:r>
    </w:p>
    <w:p w14:paraId="4374A9AD" w14:textId="4A8B9821" w:rsidR="00E21437" w:rsidRPr="005A3CBC" w:rsidRDefault="00E21437" w:rsidP="00E21437">
      <w:pPr>
        <w:rPr>
          <w:rFonts w:ascii="Arial" w:hAnsi="Arial" w:cs="Arial"/>
        </w:rPr>
      </w:pPr>
      <w:r w:rsidRPr="005A3CBC">
        <w:rPr>
          <w:rFonts w:ascii="Arial" w:hAnsi="Arial" w:cs="Arial"/>
        </w:rPr>
        <w:t xml:space="preserve">In addition to managing </w:t>
      </w:r>
      <w:proofErr w:type="gramStart"/>
      <w:r w:rsidRPr="005A3CBC">
        <w:rPr>
          <w:rFonts w:ascii="Arial" w:hAnsi="Arial" w:cs="Arial"/>
        </w:rPr>
        <w:t>the Biostatistics</w:t>
      </w:r>
      <w:proofErr w:type="gramEnd"/>
      <w:r w:rsidRPr="005A3CBC">
        <w:rPr>
          <w:rFonts w:ascii="Arial" w:hAnsi="Arial" w:cs="Arial"/>
        </w:rPr>
        <w:t xml:space="preserve"> Concentration for the MPH degree, the department offers MA and PhD degrees in Biostatistics, as well as an MS in Applied Biostatistics. Collaboration with the Department of Mathematics and Statistics in the Graduate School has been instrumental in developing and administering these programs.</w:t>
      </w:r>
    </w:p>
    <w:p w14:paraId="6D9E2F35" w14:textId="77777777" w:rsidR="00E21437" w:rsidRPr="005A3CBC" w:rsidRDefault="00E21437" w:rsidP="00E21437">
      <w:pPr>
        <w:rPr>
          <w:rFonts w:ascii="Arial" w:hAnsi="Arial" w:cs="Arial"/>
        </w:rPr>
      </w:pPr>
      <w:r w:rsidRPr="005A3CBC">
        <w:rPr>
          <w:rFonts w:ascii="Arial" w:hAnsi="Arial" w:cs="Arial"/>
        </w:rPr>
        <w:t>The Department engages in collaborative research encompassing clinical trials, observational studies, and statistical genetics. Our faculty collaborates closely with clinicians, bench researchers, other health professionals, and social scientists, both within and outside Boston University. Key research areas include clinical trials, pulmonology, pediatrics, reproductive epidemiology, drug epidemiology, neonatology, ophthalmology, cancer epidemiology, infectious disease epidemiology, emergency medicine, and neurology.</w:t>
      </w:r>
    </w:p>
    <w:p w14:paraId="54F5D1FB" w14:textId="64EEBA6F" w:rsidR="002F352A" w:rsidRPr="009942BB" w:rsidRDefault="00E21437" w:rsidP="005A3CBC">
      <w:pPr>
        <w:rPr>
          <w:rFonts w:ascii="Arial" w:hAnsi="Arial" w:cs="Arial"/>
          <w:b/>
          <w:bCs/>
        </w:rPr>
      </w:pPr>
      <w:r w:rsidRPr="009942BB">
        <w:rPr>
          <w:rFonts w:ascii="Arial" w:hAnsi="Arial" w:cs="Arial"/>
          <w:b/>
          <w:bCs/>
        </w:rPr>
        <w:t>Department of Community Health Sciences:</w:t>
      </w:r>
    </w:p>
    <w:p w14:paraId="65A20EE2" w14:textId="77777777" w:rsidR="001E1519" w:rsidRDefault="001E1519" w:rsidP="005A3CBC">
      <w:pPr>
        <w:rPr>
          <w:rFonts w:ascii="Arial" w:hAnsi="Arial" w:cs="Arial"/>
        </w:rPr>
      </w:pPr>
      <w:r w:rsidRPr="001E1519">
        <w:rPr>
          <w:rFonts w:ascii="Arial" w:hAnsi="Arial" w:cs="Arial"/>
        </w:rPr>
        <w:t>The Department of Community Health Sciences includes 38 faculty members and 21 staff members. Located in the Crosstown Center on the Boston University Medical Campus, the department occupies approximately 9,700 square feet on the 4th floor, where offices of around 130 square feet each are arranged on one floor to encourage communication and collaboration among study investigators and staff. The Department's mission is to apply social and behavioral sciences to enhance the health and well-being of communities.</w:t>
      </w:r>
    </w:p>
    <w:p w14:paraId="525B695F" w14:textId="77777777" w:rsidR="001E1519" w:rsidRDefault="001E1519" w:rsidP="005A3CBC">
      <w:pPr>
        <w:rPr>
          <w:rFonts w:ascii="Arial" w:hAnsi="Arial" w:cs="Arial"/>
        </w:rPr>
      </w:pPr>
    </w:p>
    <w:p w14:paraId="1C438A5C" w14:textId="1521F25C" w:rsidR="002F352A" w:rsidRPr="009942BB" w:rsidRDefault="00E21437" w:rsidP="005A3CBC">
      <w:pPr>
        <w:rPr>
          <w:rFonts w:ascii="Arial" w:hAnsi="Arial" w:cs="Arial"/>
          <w:b/>
          <w:bCs/>
        </w:rPr>
      </w:pPr>
      <w:r w:rsidRPr="009942BB">
        <w:rPr>
          <w:rFonts w:ascii="Arial" w:hAnsi="Arial" w:cs="Arial"/>
          <w:b/>
          <w:bCs/>
        </w:rPr>
        <w:lastRenderedPageBreak/>
        <w:t>Department of Environmental Health:</w:t>
      </w:r>
    </w:p>
    <w:p w14:paraId="06675479" w14:textId="63EECAD7" w:rsidR="001768B7" w:rsidRPr="005A3CBC" w:rsidRDefault="00E21437" w:rsidP="001768B7">
      <w:pPr>
        <w:rPr>
          <w:rFonts w:ascii="Arial" w:hAnsi="Arial" w:cs="Arial"/>
        </w:rPr>
      </w:pPr>
      <w:r w:rsidRPr="005A3CBC">
        <w:rPr>
          <w:rFonts w:ascii="Arial" w:hAnsi="Arial" w:cs="Arial"/>
        </w:rPr>
        <w:t xml:space="preserve">The </w:t>
      </w:r>
      <w:r w:rsidR="001768B7" w:rsidRPr="005A3CBC">
        <w:rPr>
          <w:rFonts w:ascii="Arial" w:hAnsi="Arial" w:cs="Arial"/>
        </w:rPr>
        <w:t>D</w:t>
      </w:r>
      <w:r w:rsidRPr="005A3CBC">
        <w:rPr>
          <w:rFonts w:ascii="Arial" w:hAnsi="Arial" w:cs="Arial"/>
        </w:rPr>
        <w:t xml:space="preserve">epartment </w:t>
      </w:r>
      <w:r w:rsidR="001768B7" w:rsidRPr="005A3CBC">
        <w:rPr>
          <w:rFonts w:ascii="Arial" w:hAnsi="Arial" w:cs="Arial"/>
        </w:rPr>
        <w:t>of Environmental Health includes</w:t>
      </w:r>
      <w:r w:rsidR="00FF6B1B" w:rsidRPr="005A3CBC">
        <w:rPr>
          <w:rFonts w:ascii="Arial" w:hAnsi="Arial" w:cs="Arial"/>
        </w:rPr>
        <w:t xml:space="preserve"> 33</w:t>
      </w:r>
      <w:r w:rsidR="001768B7" w:rsidRPr="005A3CBC">
        <w:rPr>
          <w:rFonts w:ascii="Arial" w:hAnsi="Arial" w:cs="Arial"/>
        </w:rPr>
        <w:t xml:space="preserve"> faculty members and </w:t>
      </w:r>
      <w:r w:rsidR="00FF6B1B" w:rsidRPr="005A3CBC">
        <w:rPr>
          <w:rFonts w:ascii="Arial" w:hAnsi="Arial" w:cs="Arial"/>
        </w:rPr>
        <w:t>33</w:t>
      </w:r>
      <w:r w:rsidR="001768B7" w:rsidRPr="005A3CBC">
        <w:rPr>
          <w:rFonts w:ascii="Arial" w:hAnsi="Arial" w:cs="Arial"/>
        </w:rPr>
        <w:t xml:space="preserve"> staff members. Located at Boston University's Medical Campus in the Talbot Building, the Department of Environmental Health occupies 12,200 square feet on the fourth-floor west wing and the first-floor east wing. Each faculty member has a private office and access to administrative, financial, and research support staff.</w:t>
      </w:r>
    </w:p>
    <w:p w14:paraId="1CABD534" w14:textId="75AABF19" w:rsidR="00E21437" w:rsidRPr="005A3CBC" w:rsidRDefault="001768B7" w:rsidP="00E21437">
      <w:pPr>
        <w:rPr>
          <w:rFonts w:ascii="Arial" w:hAnsi="Arial" w:cs="Arial"/>
        </w:rPr>
      </w:pPr>
      <w:r w:rsidRPr="005A3CBC">
        <w:rPr>
          <w:rFonts w:ascii="Arial" w:hAnsi="Arial" w:cs="Arial"/>
        </w:rPr>
        <w:t xml:space="preserve">Our faculty </w:t>
      </w:r>
      <w:proofErr w:type="gramStart"/>
      <w:r w:rsidR="00E21437" w:rsidRPr="005A3CBC">
        <w:rPr>
          <w:rFonts w:ascii="Arial" w:hAnsi="Arial" w:cs="Arial"/>
        </w:rPr>
        <w:t>engage</w:t>
      </w:r>
      <w:proofErr w:type="gramEnd"/>
      <w:r w:rsidR="00E21437" w:rsidRPr="005A3CBC">
        <w:rPr>
          <w:rFonts w:ascii="Arial" w:hAnsi="Arial" w:cs="Arial"/>
        </w:rPr>
        <w:t xml:space="preserve"> in collaborative research spanning community-based participatory research, observational studies, and laboratory experiments. Faculty closely collaborate with clinicians, bench researchers, health professionals, and social scientists at local, national, and international levels.</w:t>
      </w:r>
    </w:p>
    <w:p w14:paraId="7C0E96E6" w14:textId="56F6A5E7" w:rsidR="00CF5465" w:rsidRPr="009942BB" w:rsidRDefault="00E21437" w:rsidP="005A3CBC">
      <w:pPr>
        <w:rPr>
          <w:rFonts w:ascii="Arial" w:hAnsi="Arial" w:cs="Arial"/>
          <w:b/>
          <w:bCs/>
        </w:rPr>
      </w:pPr>
      <w:r w:rsidRPr="009942BB">
        <w:rPr>
          <w:rFonts w:ascii="Arial" w:hAnsi="Arial" w:cs="Arial"/>
          <w:b/>
          <w:bCs/>
        </w:rPr>
        <w:t>Department of Epidemiology:</w:t>
      </w:r>
    </w:p>
    <w:p w14:paraId="2859B472" w14:textId="3DBD14E2" w:rsidR="001768B7" w:rsidRPr="005A3CBC" w:rsidRDefault="00E21437" w:rsidP="001768B7">
      <w:pPr>
        <w:spacing w:line="240" w:lineRule="auto"/>
        <w:rPr>
          <w:rFonts w:ascii="Arial" w:hAnsi="Arial" w:cs="Arial"/>
        </w:rPr>
      </w:pPr>
      <w:r w:rsidRPr="005A3CBC">
        <w:rPr>
          <w:rFonts w:ascii="Arial" w:hAnsi="Arial" w:cs="Arial"/>
        </w:rPr>
        <w:t xml:space="preserve">The Department of Epidemiology </w:t>
      </w:r>
      <w:r w:rsidR="001768B7" w:rsidRPr="005A3CBC">
        <w:rPr>
          <w:rFonts w:ascii="Arial" w:hAnsi="Arial" w:cs="Arial"/>
        </w:rPr>
        <w:t xml:space="preserve">includes </w:t>
      </w:r>
      <w:r w:rsidR="00FF6B1B" w:rsidRPr="005A3CBC">
        <w:rPr>
          <w:rFonts w:ascii="Arial" w:hAnsi="Arial" w:cs="Arial"/>
        </w:rPr>
        <w:t>68</w:t>
      </w:r>
      <w:r w:rsidR="001768B7" w:rsidRPr="005A3CBC">
        <w:rPr>
          <w:rFonts w:ascii="Arial" w:hAnsi="Arial" w:cs="Arial"/>
        </w:rPr>
        <w:t xml:space="preserve"> faculty members and </w:t>
      </w:r>
      <w:r w:rsidR="00D003BF" w:rsidRPr="005A3CBC">
        <w:rPr>
          <w:rFonts w:ascii="Arial" w:hAnsi="Arial" w:cs="Arial"/>
        </w:rPr>
        <w:t>39</w:t>
      </w:r>
      <w:r w:rsidR="001768B7" w:rsidRPr="005A3CBC">
        <w:rPr>
          <w:rFonts w:ascii="Arial" w:hAnsi="Arial" w:cs="Arial"/>
        </w:rPr>
        <w:t xml:space="preserve"> staff members</w:t>
      </w:r>
      <w:r w:rsidRPr="005A3CBC">
        <w:rPr>
          <w:rFonts w:ascii="Arial" w:hAnsi="Arial" w:cs="Arial"/>
        </w:rPr>
        <w:t xml:space="preserve">. </w:t>
      </w:r>
      <w:r w:rsidR="001768B7" w:rsidRPr="005A3CBC">
        <w:rPr>
          <w:rFonts w:ascii="Arial" w:hAnsi="Arial" w:cs="Arial"/>
        </w:rPr>
        <w:t xml:space="preserve">Situated in the Talbot Building on Boston University's Medical Campus, the Department occupies 6,200 square feet across three adjoining floors, fostering collaboration and communication among study investigators and staff. </w:t>
      </w:r>
    </w:p>
    <w:p w14:paraId="4F4BBC38" w14:textId="1A39AC22" w:rsidR="001768B7" w:rsidRPr="005A3CBC" w:rsidRDefault="001768B7" w:rsidP="00FF6B1B">
      <w:pPr>
        <w:spacing w:line="240" w:lineRule="auto"/>
        <w:rPr>
          <w:rFonts w:ascii="Arial" w:hAnsi="Arial" w:cs="Arial"/>
        </w:rPr>
      </w:pPr>
      <w:r w:rsidRPr="005A3CBC">
        <w:rPr>
          <w:rFonts w:ascii="Arial" w:hAnsi="Arial" w:cs="Arial"/>
        </w:rPr>
        <w:t xml:space="preserve">The department’s </w:t>
      </w:r>
      <w:r w:rsidR="00E21437" w:rsidRPr="005A3CBC">
        <w:rPr>
          <w:rFonts w:ascii="Arial" w:hAnsi="Arial" w:cs="Arial"/>
        </w:rPr>
        <w:t xml:space="preserve">collaborative research </w:t>
      </w:r>
      <w:r w:rsidRPr="005A3CBC">
        <w:rPr>
          <w:rFonts w:ascii="Arial" w:hAnsi="Arial" w:cs="Arial"/>
        </w:rPr>
        <w:t xml:space="preserve">portfolio includes </w:t>
      </w:r>
      <w:r w:rsidR="00E21437" w:rsidRPr="005A3CBC">
        <w:rPr>
          <w:rFonts w:ascii="Arial" w:hAnsi="Arial" w:cs="Arial"/>
        </w:rPr>
        <w:t>clinical trials, observational studies, and laboratory experiments, involving close cooperation with clinicians, bench researchers, health professionals, and social scientists at community, national, and international levels.</w:t>
      </w:r>
      <w:r w:rsidRPr="005A3CBC">
        <w:rPr>
          <w:rFonts w:ascii="Arial" w:hAnsi="Arial" w:cs="Arial"/>
        </w:rPr>
        <w:t xml:space="preserve"> </w:t>
      </w:r>
      <w:r w:rsidR="00E21437" w:rsidRPr="005A3CBC">
        <w:rPr>
          <w:rFonts w:ascii="Arial" w:hAnsi="Arial" w:cs="Arial"/>
        </w:rPr>
        <w:t xml:space="preserve">Faculty expertise spans epidemiologic methods, reproductive and perinatal health, chronic and infectious diseases, mental health, social and environmental epidemiology. </w:t>
      </w:r>
      <w:r w:rsidR="00AA16FE" w:rsidRPr="005A3CBC">
        <w:rPr>
          <w:rFonts w:ascii="Arial" w:hAnsi="Arial" w:cs="Arial"/>
        </w:rPr>
        <w:t xml:space="preserve">Faculty research activities involve innovative study designs, such as Alzheimer's Disease and Alzheimer's Related Dementias, COVID-19, reproductive epidemiology, social determinants of health, </w:t>
      </w:r>
      <w:proofErr w:type="spellStart"/>
      <w:proofErr w:type="gramStart"/>
      <w:r w:rsidR="00AA16FE" w:rsidRPr="005A3CBC">
        <w:rPr>
          <w:rFonts w:ascii="Arial" w:hAnsi="Arial" w:cs="Arial"/>
        </w:rPr>
        <w:t>lifecourse</w:t>
      </w:r>
      <w:proofErr w:type="spellEnd"/>
      <w:proofErr w:type="gramEnd"/>
      <w:r w:rsidR="00AA16FE" w:rsidRPr="005A3CBC">
        <w:rPr>
          <w:rFonts w:ascii="Arial" w:hAnsi="Arial" w:cs="Arial"/>
        </w:rPr>
        <w:t xml:space="preserve"> epidemiology, and quantitative research methods. Collaborations extend to a wide range of fields, including medicine, basic science, systems science, demography, and social sciences.</w:t>
      </w:r>
      <w:r w:rsidRPr="005A3CBC">
        <w:rPr>
          <w:rFonts w:ascii="Arial" w:hAnsi="Arial" w:cs="Arial"/>
        </w:rPr>
        <w:t xml:space="preserve"> </w:t>
      </w:r>
    </w:p>
    <w:p w14:paraId="6423F787" w14:textId="6AF5F527" w:rsidR="002F352A" w:rsidRPr="009942BB" w:rsidRDefault="00E21437" w:rsidP="005A3CBC">
      <w:pPr>
        <w:rPr>
          <w:rFonts w:ascii="Arial" w:hAnsi="Arial" w:cs="Arial"/>
          <w:b/>
          <w:bCs/>
        </w:rPr>
      </w:pPr>
      <w:r w:rsidRPr="009942BB">
        <w:rPr>
          <w:rFonts w:ascii="Arial" w:hAnsi="Arial" w:cs="Arial"/>
          <w:b/>
          <w:bCs/>
        </w:rPr>
        <w:t>Department of Global Health:</w:t>
      </w:r>
    </w:p>
    <w:p w14:paraId="351043C3" w14:textId="2D92BD7A" w:rsidR="001768B7" w:rsidRPr="005A3CBC" w:rsidRDefault="00E21437" w:rsidP="001768B7">
      <w:pPr>
        <w:rPr>
          <w:rFonts w:ascii="Arial" w:hAnsi="Arial" w:cs="Arial"/>
        </w:rPr>
      </w:pPr>
      <w:r w:rsidRPr="005A3CBC">
        <w:rPr>
          <w:rFonts w:ascii="Arial" w:hAnsi="Arial" w:cs="Arial"/>
        </w:rPr>
        <w:t xml:space="preserve">The Department of Global Health </w:t>
      </w:r>
      <w:r w:rsidR="001768B7" w:rsidRPr="005A3CBC">
        <w:rPr>
          <w:rFonts w:ascii="Arial" w:hAnsi="Arial" w:cs="Arial"/>
        </w:rPr>
        <w:t xml:space="preserve">includes </w:t>
      </w:r>
      <w:r w:rsidR="00FF6B1B" w:rsidRPr="005A3CBC">
        <w:rPr>
          <w:rFonts w:ascii="Arial" w:hAnsi="Arial" w:cs="Arial"/>
        </w:rPr>
        <w:t>48</w:t>
      </w:r>
      <w:r w:rsidR="001768B7" w:rsidRPr="005A3CBC">
        <w:rPr>
          <w:rFonts w:ascii="Arial" w:hAnsi="Arial" w:cs="Arial"/>
        </w:rPr>
        <w:t xml:space="preserve"> faculty members and </w:t>
      </w:r>
      <w:r w:rsidR="00D003BF" w:rsidRPr="005A3CBC">
        <w:rPr>
          <w:rFonts w:ascii="Arial" w:hAnsi="Arial" w:cs="Arial"/>
        </w:rPr>
        <w:t>21</w:t>
      </w:r>
      <w:r w:rsidR="001768B7" w:rsidRPr="005A3CBC">
        <w:rPr>
          <w:rFonts w:ascii="Arial" w:hAnsi="Arial" w:cs="Arial"/>
        </w:rPr>
        <w:t xml:space="preserve"> staff members</w:t>
      </w:r>
      <w:r w:rsidRPr="005A3CBC">
        <w:rPr>
          <w:rFonts w:ascii="Arial" w:hAnsi="Arial" w:cs="Arial"/>
        </w:rPr>
        <w:t xml:space="preserve">. </w:t>
      </w:r>
      <w:r w:rsidR="001768B7" w:rsidRPr="005A3CBC">
        <w:rPr>
          <w:rFonts w:ascii="Arial" w:hAnsi="Arial" w:cs="Arial"/>
        </w:rPr>
        <w:t>Located in the Crosstown Center on the Boston University Medical Campus, the department occupies approximately 11,700 square feet on the 3rd floor, where offices of around 130 square feet each are arranged on one floor to encourage communication and collaboration among study investigators and staff.</w:t>
      </w:r>
    </w:p>
    <w:p w14:paraId="56499D1E" w14:textId="051319B8" w:rsidR="00F95798" w:rsidRPr="005A3CBC" w:rsidRDefault="00E21437" w:rsidP="00E21437">
      <w:pPr>
        <w:rPr>
          <w:rFonts w:ascii="Arial" w:hAnsi="Arial" w:cs="Arial"/>
        </w:rPr>
      </w:pPr>
      <w:r w:rsidRPr="005A3CBC">
        <w:rPr>
          <w:rFonts w:ascii="Arial" w:hAnsi="Arial" w:cs="Arial"/>
        </w:rPr>
        <w:t>The department's activities primarily focus on lower middle-income and low-income countries, with significant contributions to pneumonia, malaria, neonatal survival, PMTCT, maternal mortality reduction, community health worker capacity building, infectious disease epidemiology, vaccinology, orphans and vulnerable children, tuberculosis, hepatitis C virus, and HIV behavioral research and interventions. Additionally, the department addresses health care disparities for infectious diseases and non-communicable diseases, with a particular emphasis on improving outcomes in patients with sickle cell disease</w:t>
      </w:r>
      <w:r w:rsidR="001768B7" w:rsidRPr="005A3CBC">
        <w:rPr>
          <w:rFonts w:ascii="Arial" w:hAnsi="Arial" w:cs="Arial"/>
        </w:rPr>
        <w:t xml:space="preserve">. </w:t>
      </w:r>
    </w:p>
    <w:p w14:paraId="3A27A496" w14:textId="6D011355" w:rsidR="002F352A" w:rsidRPr="009942BB" w:rsidRDefault="00E21437" w:rsidP="005A3CBC">
      <w:pPr>
        <w:rPr>
          <w:rFonts w:ascii="Arial" w:hAnsi="Arial" w:cs="Arial"/>
          <w:b/>
          <w:bCs/>
        </w:rPr>
      </w:pPr>
      <w:r w:rsidRPr="009942BB">
        <w:rPr>
          <w:rFonts w:ascii="Arial" w:hAnsi="Arial" w:cs="Arial"/>
          <w:b/>
          <w:bCs/>
        </w:rPr>
        <w:t>Department of Health Law, Policy &amp; Management:</w:t>
      </w:r>
    </w:p>
    <w:p w14:paraId="5A823C54" w14:textId="1AF7A856" w:rsidR="00F95798" w:rsidRPr="005A3CBC" w:rsidRDefault="004E038A" w:rsidP="00F95798">
      <w:pPr>
        <w:rPr>
          <w:rFonts w:ascii="Arial" w:hAnsi="Arial" w:cs="Arial"/>
        </w:rPr>
      </w:pPr>
      <w:r w:rsidRPr="005A3CBC">
        <w:rPr>
          <w:rFonts w:ascii="Arial" w:hAnsi="Arial" w:cs="Arial"/>
        </w:rPr>
        <w:t xml:space="preserve">The </w:t>
      </w:r>
      <w:r w:rsidR="001768B7" w:rsidRPr="005A3CBC">
        <w:rPr>
          <w:rFonts w:ascii="Arial" w:hAnsi="Arial" w:cs="Arial"/>
        </w:rPr>
        <w:t xml:space="preserve">Department of </w:t>
      </w:r>
      <w:r w:rsidRPr="005A3CBC">
        <w:rPr>
          <w:rFonts w:ascii="Arial" w:hAnsi="Arial" w:cs="Arial"/>
        </w:rPr>
        <w:t xml:space="preserve">Health Law, Policy &amp; Management </w:t>
      </w:r>
      <w:r w:rsidR="001768B7" w:rsidRPr="005A3CBC">
        <w:rPr>
          <w:rFonts w:ascii="Arial" w:hAnsi="Arial" w:cs="Arial"/>
        </w:rPr>
        <w:t xml:space="preserve">comprises </w:t>
      </w:r>
      <w:r w:rsidR="00FF6B1B" w:rsidRPr="005A3CBC">
        <w:rPr>
          <w:rFonts w:ascii="Arial" w:hAnsi="Arial" w:cs="Arial"/>
        </w:rPr>
        <w:t>67</w:t>
      </w:r>
      <w:r w:rsidR="001768B7" w:rsidRPr="005A3CBC">
        <w:rPr>
          <w:rFonts w:ascii="Arial" w:hAnsi="Arial" w:cs="Arial"/>
        </w:rPr>
        <w:t xml:space="preserve"> faculty members and </w:t>
      </w:r>
      <w:r w:rsidR="00D003BF" w:rsidRPr="005A3CBC">
        <w:rPr>
          <w:rFonts w:ascii="Arial" w:hAnsi="Arial" w:cs="Arial"/>
        </w:rPr>
        <w:t>25</w:t>
      </w:r>
      <w:r w:rsidR="001768B7" w:rsidRPr="005A3CBC">
        <w:rPr>
          <w:rFonts w:ascii="Arial" w:hAnsi="Arial" w:cs="Arial"/>
        </w:rPr>
        <w:t xml:space="preserve"> staff members</w:t>
      </w:r>
      <w:r w:rsidR="00B41AC2" w:rsidRPr="005A3CBC">
        <w:rPr>
          <w:rFonts w:ascii="Arial" w:hAnsi="Arial" w:cs="Arial"/>
        </w:rPr>
        <w:t xml:space="preserve">. </w:t>
      </w:r>
      <w:r w:rsidR="00F95798" w:rsidRPr="005A3CBC">
        <w:rPr>
          <w:rFonts w:ascii="Arial" w:hAnsi="Arial" w:cs="Arial"/>
        </w:rPr>
        <w:t>The department occupies a significant portion of the first, second, and third floors of the west wing of the BUSPH main building, totaling about 6,300 square feet.</w:t>
      </w:r>
    </w:p>
    <w:p w14:paraId="4C57DB69" w14:textId="4E6BFEFC" w:rsidR="00F95798" w:rsidRPr="005A3CBC" w:rsidRDefault="00F95798" w:rsidP="00F95798">
      <w:pPr>
        <w:spacing w:after="0" w:line="240" w:lineRule="auto"/>
        <w:rPr>
          <w:rFonts w:ascii="Arial" w:hAnsi="Arial" w:cs="Arial"/>
        </w:rPr>
      </w:pPr>
      <w:r w:rsidRPr="005A3CBC">
        <w:rPr>
          <w:rFonts w:ascii="Arial" w:hAnsi="Arial" w:cs="Arial"/>
        </w:rPr>
        <w:t>T</w:t>
      </w:r>
      <w:r w:rsidR="00E21437" w:rsidRPr="005A3CBC">
        <w:rPr>
          <w:rFonts w:ascii="Arial" w:hAnsi="Arial" w:cs="Arial"/>
        </w:rPr>
        <w:t>he HLPM Department comprises widely published experts in health law, bioethics, human rights, policy, health services, economics, and implementation science. These experts actively participate in state, national, and international committees and task forces, addressing real-world healthcare challenges.</w:t>
      </w:r>
    </w:p>
    <w:p w14:paraId="257AE110" w14:textId="77777777" w:rsidR="00F95798" w:rsidRDefault="00F95798" w:rsidP="00FF6B1B">
      <w:pPr>
        <w:spacing w:after="0" w:line="240" w:lineRule="auto"/>
        <w:rPr>
          <w:rFonts w:ascii="Arial" w:hAnsi="Arial" w:cs="Arial"/>
        </w:rPr>
      </w:pPr>
    </w:p>
    <w:p w14:paraId="3C0E4CE3" w14:textId="77777777" w:rsidR="009942BB" w:rsidRDefault="009942BB" w:rsidP="00FF6B1B">
      <w:pPr>
        <w:spacing w:after="0" w:line="240" w:lineRule="auto"/>
        <w:rPr>
          <w:rFonts w:ascii="Arial" w:hAnsi="Arial" w:cs="Arial"/>
        </w:rPr>
      </w:pPr>
    </w:p>
    <w:p w14:paraId="59E18E93" w14:textId="77777777" w:rsidR="009942BB" w:rsidRDefault="009942BB" w:rsidP="00FF6B1B">
      <w:pPr>
        <w:spacing w:after="0" w:line="240" w:lineRule="auto"/>
        <w:rPr>
          <w:rFonts w:ascii="Arial" w:hAnsi="Arial" w:cs="Arial"/>
        </w:rPr>
      </w:pPr>
    </w:p>
    <w:p w14:paraId="30D3B7A4" w14:textId="77777777" w:rsidR="009942BB" w:rsidRDefault="009942BB" w:rsidP="00FF6B1B">
      <w:pPr>
        <w:spacing w:after="0" w:line="240" w:lineRule="auto"/>
        <w:rPr>
          <w:rFonts w:ascii="Arial" w:hAnsi="Arial" w:cs="Arial"/>
        </w:rPr>
      </w:pPr>
    </w:p>
    <w:p w14:paraId="41769EEA" w14:textId="77777777" w:rsidR="009139DB" w:rsidRDefault="009139DB" w:rsidP="00FF6B1B">
      <w:pPr>
        <w:spacing w:after="0" w:line="240" w:lineRule="auto"/>
        <w:rPr>
          <w:rFonts w:ascii="Arial" w:hAnsi="Arial" w:cs="Arial"/>
        </w:rPr>
      </w:pPr>
    </w:p>
    <w:p w14:paraId="732AA5BA" w14:textId="77777777" w:rsidR="009139DB" w:rsidRDefault="009139DB" w:rsidP="00FF6B1B">
      <w:pPr>
        <w:spacing w:after="0" w:line="240" w:lineRule="auto"/>
        <w:rPr>
          <w:rFonts w:ascii="Arial" w:hAnsi="Arial" w:cs="Arial"/>
        </w:rPr>
      </w:pPr>
    </w:p>
    <w:p w14:paraId="09A43922" w14:textId="77777777" w:rsidR="009139DB" w:rsidRDefault="009139DB" w:rsidP="00FF6B1B">
      <w:pPr>
        <w:spacing w:after="0" w:line="240" w:lineRule="auto"/>
        <w:rPr>
          <w:rFonts w:ascii="Arial" w:hAnsi="Arial" w:cs="Arial"/>
        </w:rPr>
      </w:pPr>
    </w:p>
    <w:p w14:paraId="6D4F253A" w14:textId="77777777" w:rsidR="009139DB" w:rsidRDefault="009139DB" w:rsidP="00FF6B1B">
      <w:pPr>
        <w:spacing w:after="0" w:line="240" w:lineRule="auto"/>
        <w:rPr>
          <w:rFonts w:ascii="Arial" w:hAnsi="Arial" w:cs="Arial"/>
        </w:rPr>
      </w:pPr>
    </w:p>
    <w:p w14:paraId="03C28B10" w14:textId="77777777" w:rsidR="009139DB" w:rsidRDefault="009139DB" w:rsidP="00FF6B1B">
      <w:pPr>
        <w:spacing w:after="0" w:line="240" w:lineRule="auto"/>
        <w:rPr>
          <w:rFonts w:ascii="Arial" w:hAnsi="Arial" w:cs="Arial"/>
        </w:rPr>
      </w:pPr>
    </w:p>
    <w:p w14:paraId="31F1714A" w14:textId="77777777" w:rsidR="009942BB" w:rsidRPr="005A3CBC" w:rsidRDefault="009942BB" w:rsidP="00FF6B1B">
      <w:pPr>
        <w:spacing w:after="0" w:line="240" w:lineRule="auto"/>
        <w:rPr>
          <w:rFonts w:ascii="Arial" w:hAnsi="Arial" w:cs="Arial"/>
        </w:rPr>
      </w:pPr>
    </w:p>
    <w:p w14:paraId="01FEB33B" w14:textId="2AEBA183" w:rsidR="006D0391" w:rsidRPr="009942BB" w:rsidRDefault="00184370" w:rsidP="005A3CBC">
      <w:pPr>
        <w:rPr>
          <w:rFonts w:ascii="Arial" w:hAnsi="Arial" w:cs="Arial"/>
          <w:b/>
          <w:bCs/>
          <w:u w:val="single"/>
        </w:rPr>
      </w:pPr>
      <w:r w:rsidRPr="00541D5C">
        <w:rPr>
          <w:rFonts w:ascii="Arial" w:hAnsi="Arial" w:cs="Arial"/>
          <w:b/>
          <w:bCs/>
          <w:u w:val="single"/>
        </w:rPr>
        <w:lastRenderedPageBreak/>
        <w:t xml:space="preserve">Descriptions of </w:t>
      </w:r>
      <w:r w:rsidR="006D0391" w:rsidRPr="00541D5C">
        <w:rPr>
          <w:rFonts w:ascii="Arial" w:hAnsi="Arial" w:cs="Arial"/>
          <w:b/>
          <w:bCs/>
          <w:u w:val="single"/>
        </w:rPr>
        <w:t>A</w:t>
      </w:r>
      <w:r w:rsidRPr="00541D5C">
        <w:rPr>
          <w:rFonts w:ascii="Arial" w:hAnsi="Arial" w:cs="Arial"/>
          <w:b/>
          <w:bCs/>
          <w:u w:val="single"/>
        </w:rPr>
        <w:t xml:space="preserve">dditional </w:t>
      </w:r>
      <w:r w:rsidR="006D0391" w:rsidRPr="00541D5C">
        <w:rPr>
          <w:rFonts w:ascii="Arial" w:hAnsi="Arial" w:cs="Arial"/>
          <w:b/>
          <w:bCs/>
          <w:u w:val="single"/>
        </w:rPr>
        <w:t>U</w:t>
      </w:r>
      <w:r w:rsidRPr="00541D5C">
        <w:rPr>
          <w:rFonts w:ascii="Arial" w:hAnsi="Arial" w:cs="Arial"/>
          <w:b/>
          <w:bCs/>
          <w:u w:val="single"/>
        </w:rPr>
        <w:t xml:space="preserve">nits as </w:t>
      </w:r>
      <w:r w:rsidR="006D0391" w:rsidRPr="00541D5C">
        <w:rPr>
          <w:rFonts w:ascii="Arial" w:hAnsi="Arial" w:cs="Arial"/>
          <w:b/>
          <w:bCs/>
          <w:u w:val="single"/>
        </w:rPr>
        <w:t>A</w:t>
      </w:r>
      <w:r w:rsidRPr="00541D5C">
        <w:rPr>
          <w:rFonts w:ascii="Arial" w:hAnsi="Arial" w:cs="Arial"/>
          <w:b/>
          <w:bCs/>
          <w:u w:val="single"/>
        </w:rPr>
        <w:t>pplicable</w:t>
      </w:r>
    </w:p>
    <w:p w14:paraId="0ED9AAC0" w14:textId="1D8F46EF" w:rsidR="00F81308" w:rsidRPr="00F128CB" w:rsidRDefault="00F81308" w:rsidP="005A3CBC">
      <w:pPr>
        <w:rPr>
          <w:rFonts w:ascii="Arial" w:hAnsi="Arial" w:cs="Arial"/>
          <w:b/>
          <w:bCs/>
        </w:rPr>
      </w:pPr>
      <w:r w:rsidRPr="00F128CB">
        <w:rPr>
          <w:rFonts w:ascii="Arial" w:hAnsi="Arial" w:cs="Arial"/>
          <w:b/>
          <w:bCs/>
        </w:rPr>
        <w:t xml:space="preserve">The Biostatistics and Epidemiology Data Analytics Center (BEDAC) </w:t>
      </w:r>
    </w:p>
    <w:p w14:paraId="36485998" w14:textId="1CA0F3A7" w:rsidR="00FA003C" w:rsidRPr="005A3CBC" w:rsidRDefault="00FA003C" w:rsidP="00FA003C">
      <w:pPr>
        <w:adjustRightInd w:val="0"/>
        <w:rPr>
          <w:rFonts w:ascii="Arial" w:hAnsi="Arial" w:cs="Arial"/>
          <w:b/>
        </w:rPr>
      </w:pPr>
      <w:r w:rsidRPr="005A3CBC">
        <w:rPr>
          <w:rFonts w:ascii="Arial" w:hAnsi="Arial" w:cs="Arial"/>
        </w:rPr>
        <w:t xml:space="preserve">BEDAC occupies </w:t>
      </w:r>
      <w:r w:rsidR="000F2E52" w:rsidRPr="005A3CBC">
        <w:rPr>
          <w:rFonts w:ascii="Arial" w:hAnsi="Arial" w:cs="Arial"/>
        </w:rPr>
        <w:t>5,200</w:t>
      </w:r>
      <w:r w:rsidRPr="005A3CBC">
        <w:rPr>
          <w:rFonts w:ascii="Arial" w:hAnsi="Arial" w:cs="Arial"/>
        </w:rPr>
        <w:t xml:space="preserve"> square feet of the 9th floor of the Solomon Carter Fuller building, located on the Boston University Medical Campus (BUMC). This space recently underwent a large renovation in 2016 and includes 16 private and 5 shared offices, and a 523 square foot conference room equipped with built-in audio conferencing, 90” display screen and a computer.  Physical access to BEDAC requires a key card and keys are required for entry into offices and shared spaces.</w:t>
      </w:r>
    </w:p>
    <w:p w14:paraId="10A1FB02" w14:textId="65B00351" w:rsidR="00FA003C" w:rsidRPr="005A3CBC" w:rsidRDefault="00FA003C" w:rsidP="00FA003C">
      <w:pPr>
        <w:adjustRightInd w:val="0"/>
        <w:spacing w:before="120"/>
        <w:rPr>
          <w:rFonts w:ascii="Arial" w:hAnsi="Arial" w:cs="Arial"/>
        </w:rPr>
      </w:pPr>
      <w:r w:rsidRPr="005A3CBC">
        <w:rPr>
          <w:rFonts w:ascii="Arial" w:hAnsi="Arial" w:cs="Arial"/>
          <w:u w:val="single"/>
        </w:rPr>
        <w:t>Information Technology Infrastructure</w:t>
      </w:r>
      <w:r w:rsidRPr="005A3CBC">
        <w:rPr>
          <w:rFonts w:ascii="Arial" w:hAnsi="Arial" w:cs="Arial"/>
        </w:rPr>
        <w:t xml:space="preserve">. BEDAC is supported by the Boston University Medical Campus (BUMC) Information Systems and Technology group (IS&amp;T). Project data resides on virtual machines stored inside the BUMC IS&amp;T premium secure environment. Access to the physical data center is limited to authorized IS&amp;T personnel and requires an active access card and PIN and is protected by an alarm system that is tied directly into the on-site central emergency response security control center, monitored by closed-circuit cameras. Administrative database access is limited to IS&amp;T Database Administrators and BUMC Systems staff.  Functional access is granted on an as-needed basis to users, leveraging centralized authentication. </w:t>
      </w:r>
      <w:proofErr w:type="gramStart"/>
      <w:r w:rsidRPr="005A3CBC">
        <w:rPr>
          <w:rFonts w:ascii="Arial" w:hAnsi="Arial" w:cs="Arial"/>
        </w:rPr>
        <w:t>With the exception of</w:t>
      </w:r>
      <w:proofErr w:type="gramEnd"/>
      <w:r w:rsidRPr="005A3CBC">
        <w:rPr>
          <w:rFonts w:ascii="Arial" w:hAnsi="Arial" w:cs="Arial"/>
        </w:rPr>
        <w:t xml:space="preserve"> internet provider-based services, external client access must first gain access to the internal network before connecting to the systems. This connection is initiated via Virtual Private Network requiring Kerberos authentication. Databases are configured to require encrypted connections, data stored in the databases are encrypted at rest (AES-256), and all actions in the database are logged. The network infrastructure consists of fiber and copper connections ranging from 10 Mb/s -10 Gigabit Ethernet. Several stages of redundancy exist at the hardware level to minimize failure</w:t>
      </w:r>
      <w:proofErr w:type="gramStart"/>
      <w:r w:rsidRPr="005A3CBC">
        <w:rPr>
          <w:rFonts w:ascii="Arial" w:hAnsi="Arial" w:cs="Arial"/>
        </w:rPr>
        <w:t>:  fully</w:t>
      </w:r>
      <w:proofErr w:type="gramEnd"/>
      <w:r w:rsidRPr="005A3CBC">
        <w:rPr>
          <w:rFonts w:ascii="Arial" w:hAnsi="Arial" w:cs="Arial"/>
        </w:rPr>
        <w:t xml:space="preserve"> redundant and fault-tolerant hardware; virtual servers run on a four-node high-availability (HA) cluster configuration; emergency power generators ensure a 100% electrical uptime; and uninterrupted power supplies present the systems with conditioned steady-state power. The data are backed up on a regular schedule and include full and incremental back-ups archived at project close as per project protocol.</w:t>
      </w:r>
    </w:p>
    <w:p w14:paraId="7B48FFF6" w14:textId="2F72C2C1" w:rsidR="00FA003C" w:rsidRPr="005A3CBC" w:rsidRDefault="00FA003C" w:rsidP="00FF6B1B">
      <w:pPr>
        <w:adjustRightInd w:val="0"/>
        <w:spacing w:before="120"/>
        <w:rPr>
          <w:rFonts w:ascii="Arial" w:eastAsia="Times New Roman" w:hAnsi="Arial" w:cs="Arial"/>
          <w:b/>
          <w:bCs/>
          <w:kern w:val="0"/>
          <w14:ligatures w14:val="none"/>
        </w:rPr>
      </w:pPr>
      <w:r w:rsidRPr="005A3CBC">
        <w:rPr>
          <w:rFonts w:ascii="Arial" w:hAnsi="Arial" w:cs="Arial"/>
          <w:u w:val="single"/>
        </w:rPr>
        <w:t>The BEDAC Environment</w:t>
      </w:r>
      <w:r w:rsidRPr="005A3CBC">
        <w:rPr>
          <w:rFonts w:ascii="Arial" w:hAnsi="Arial" w:cs="Arial"/>
        </w:rPr>
        <w:t xml:space="preserve">. BEDAC has over 30 personal computers. Laptop and desktop connections are Ethernet or Fast Ethernet and wireless utilizing 802.11a and 802.11g networks. Under the IS&amp;T umbrella, the informatics team will be responsible </w:t>
      </w:r>
      <w:proofErr w:type="gramStart"/>
      <w:r w:rsidRPr="005A3CBC">
        <w:rPr>
          <w:rFonts w:ascii="Arial" w:hAnsi="Arial" w:cs="Arial"/>
        </w:rPr>
        <w:t>to provide</w:t>
      </w:r>
      <w:proofErr w:type="gramEnd"/>
      <w:r w:rsidRPr="005A3CBC">
        <w:rPr>
          <w:rFonts w:ascii="Arial" w:hAnsi="Arial" w:cs="Arial"/>
        </w:rPr>
        <w:t xml:space="preserve"> access to the website based on role-based permissions granted by username and password. Only authorized study members will be able to enter or view data and access to specific dashboard features will be limited by role.  All web pages will include an automatic time-out feature that will disconnect inactive users at a specified interval to prevent unauthorized users from viewing data at unattended computer monitors. Data collected will be electronically encrypted via IPSec tunnel or secure socket layering (SSL) encryption technology so that only the intended recipient can decode the data. Applications and databases will be protected by network firewalls that restrict access to designated users and hosts, and two factor authentication </w:t>
      </w:r>
      <w:proofErr w:type="gramStart"/>
      <w:r w:rsidRPr="005A3CBC">
        <w:rPr>
          <w:rFonts w:ascii="Arial" w:hAnsi="Arial" w:cs="Arial"/>
        </w:rPr>
        <w:t>is</w:t>
      </w:r>
      <w:proofErr w:type="gramEnd"/>
      <w:r w:rsidRPr="005A3CBC">
        <w:rPr>
          <w:rFonts w:ascii="Arial" w:hAnsi="Arial" w:cs="Arial"/>
        </w:rPr>
        <w:t xml:space="preserve"> required as an additional security measure.  All data collected will be stored on a secure server to which only designated individuals have access. Restriction and </w:t>
      </w:r>
      <w:proofErr w:type="gramStart"/>
      <w:r w:rsidRPr="005A3CBC">
        <w:rPr>
          <w:rFonts w:ascii="Arial" w:hAnsi="Arial" w:cs="Arial"/>
        </w:rPr>
        <w:t>permissions</w:t>
      </w:r>
      <w:proofErr w:type="gramEnd"/>
      <w:r w:rsidRPr="005A3CBC">
        <w:rPr>
          <w:rFonts w:ascii="Arial" w:hAnsi="Arial" w:cs="Arial"/>
        </w:rPr>
        <w:t xml:space="preserve"> to update the database will be controlled through the web application built and maintained by the BEDAC.</w:t>
      </w:r>
    </w:p>
    <w:p w14:paraId="688F229D" w14:textId="202B1C72" w:rsidR="006F1A3F" w:rsidRPr="00541D5C" w:rsidRDefault="00992267" w:rsidP="005A3CBC">
      <w:pPr>
        <w:rPr>
          <w:rFonts w:ascii="Arial" w:hAnsi="Arial" w:cs="Arial"/>
          <w:b/>
          <w:bCs/>
        </w:rPr>
      </w:pPr>
      <w:r w:rsidRPr="00541D5C">
        <w:rPr>
          <w:rFonts w:ascii="Arial" w:hAnsi="Arial" w:cs="Arial"/>
          <w:b/>
          <w:bCs/>
        </w:rPr>
        <w:t>The Boston Census Research Data Center (BRDC)</w:t>
      </w:r>
    </w:p>
    <w:p w14:paraId="2320AC87" w14:textId="77777777" w:rsidR="00DF0460" w:rsidRPr="005A3CBC" w:rsidRDefault="00DF0460" w:rsidP="00DF0460">
      <w:pPr>
        <w:rPr>
          <w:rFonts w:ascii="Arial" w:hAnsi="Arial" w:cs="Arial"/>
        </w:rPr>
      </w:pPr>
      <w:r w:rsidRPr="005A3CBC">
        <w:rPr>
          <w:rFonts w:ascii="Arial" w:hAnsi="Arial" w:cs="Arial"/>
        </w:rPr>
        <w:t xml:space="preserve">Boston University maintains an institutional membership in the BDRC, which is part of the Federal Statistical Research Data Center (FSRDC) program and is operated as a partnership between the U.S. Census Bureau and the National Bureau of Economic Research (NBER). Open since 1994, the BRDC provides qualified </w:t>
      </w:r>
      <w:proofErr w:type="gramStart"/>
      <w:r w:rsidRPr="005A3CBC">
        <w:rPr>
          <w:rFonts w:ascii="Arial" w:hAnsi="Arial" w:cs="Arial"/>
        </w:rPr>
        <w:t>researchers</w:t>
      </w:r>
      <w:proofErr w:type="gramEnd"/>
      <w:r w:rsidRPr="005A3CBC">
        <w:rPr>
          <w:rFonts w:ascii="Arial" w:hAnsi="Arial" w:cs="Arial"/>
        </w:rPr>
        <w:t xml:space="preserve"> the opportunity to perform statistical analysis on non-public microdata from the Census Bureau, National Center for Health Statistics (NCHS), Agency for Healthcare Research and Quality (AHRQ), Bureau of Labor Statistics (BLS), and Bureau of Economic Analysis (BEA).</w:t>
      </w:r>
    </w:p>
    <w:p w14:paraId="37878B0A" w14:textId="77777777" w:rsidR="00DF0460" w:rsidRPr="005A3CBC" w:rsidRDefault="00DF0460" w:rsidP="00DF0460">
      <w:pPr>
        <w:rPr>
          <w:rFonts w:ascii="Arial" w:hAnsi="Arial" w:cs="Arial"/>
        </w:rPr>
      </w:pPr>
      <w:r w:rsidRPr="005A3CBC">
        <w:rPr>
          <w:rFonts w:ascii="Arial" w:hAnsi="Arial" w:cs="Arial"/>
        </w:rPr>
        <w:t>Information on the FSRDC program can be found on its homepage. Data available for use within the secure RDCs include:</w:t>
      </w:r>
    </w:p>
    <w:p w14:paraId="65EDC9DC" w14:textId="77777777" w:rsidR="00DF0460" w:rsidRPr="005A3CBC" w:rsidRDefault="00DF0460" w:rsidP="00DF0460">
      <w:pPr>
        <w:rPr>
          <w:rFonts w:ascii="Arial" w:hAnsi="Arial" w:cs="Arial"/>
        </w:rPr>
      </w:pPr>
      <w:r w:rsidRPr="005A3CBC">
        <w:rPr>
          <w:rFonts w:ascii="Arial" w:hAnsi="Arial" w:cs="Arial"/>
        </w:rPr>
        <w:t>•</w:t>
      </w:r>
      <w:r w:rsidRPr="005A3CBC">
        <w:rPr>
          <w:rFonts w:ascii="Arial" w:hAnsi="Arial" w:cs="Arial"/>
        </w:rPr>
        <w:tab/>
        <w:t xml:space="preserve">A wide range of Census microdata files </w:t>
      </w:r>
    </w:p>
    <w:p w14:paraId="6E65E4D8" w14:textId="77777777" w:rsidR="00DF0460" w:rsidRPr="005A3CBC" w:rsidRDefault="00DF0460" w:rsidP="00DF0460">
      <w:pPr>
        <w:rPr>
          <w:rFonts w:ascii="Arial" w:hAnsi="Arial" w:cs="Arial"/>
        </w:rPr>
      </w:pPr>
      <w:r w:rsidRPr="005A3CBC">
        <w:rPr>
          <w:rFonts w:ascii="Arial" w:hAnsi="Arial" w:cs="Arial"/>
        </w:rPr>
        <w:t>•</w:t>
      </w:r>
      <w:r w:rsidRPr="005A3CBC">
        <w:rPr>
          <w:rFonts w:ascii="Arial" w:hAnsi="Arial" w:cs="Arial"/>
        </w:rPr>
        <w:tab/>
        <w:t xml:space="preserve">Data collaborations among federal statistical agencies </w:t>
      </w:r>
    </w:p>
    <w:p w14:paraId="56093033" w14:textId="77777777" w:rsidR="00DF0460" w:rsidRPr="005A3CBC" w:rsidRDefault="00DF0460" w:rsidP="00DF0460">
      <w:pPr>
        <w:rPr>
          <w:rFonts w:ascii="Arial" w:hAnsi="Arial" w:cs="Arial"/>
        </w:rPr>
      </w:pPr>
      <w:r w:rsidRPr="005A3CBC">
        <w:rPr>
          <w:rFonts w:ascii="Arial" w:hAnsi="Arial" w:cs="Arial"/>
        </w:rPr>
        <w:lastRenderedPageBreak/>
        <w:t>•</w:t>
      </w:r>
      <w:r w:rsidRPr="005A3CBC">
        <w:rPr>
          <w:rFonts w:ascii="Arial" w:hAnsi="Arial" w:cs="Arial"/>
        </w:rPr>
        <w:tab/>
        <w:t xml:space="preserve">Restricted-use data from FSRDC statistical agency partners through their proposal process </w:t>
      </w:r>
    </w:p>
    <w:p w14:paraId="5AD3B963" w14:textId="398AE693" w:rsidR="00992267" w:rsidRPr="005A3CBC" w:rsidRDefault="00DF0460" w:rsidP="00DF0460">
      <w:pPr>
        <w:rPr>
          <w:rFonts w:ascii="Arial" w:hAnsi="Arial" w:cs="Arial"/>
        </w:rPr>
      </w:pPr>
      <w:r w:rsidRPr="005A3CBC">
        <w:rPr>
          <w:rFonts w:ascii="Arial" w:hAnsi="Arial" w:cs="Arial"/>
        </w:rPr>
        <w:t xml:space="preserve">The Census Bureau’s Data Linkage Infrastructure is an ecosystem of survey and administrative records that are linked at the person, address, and business levels. De-identified files can be used at the BDRC and are ideal for mortality research, linking census bureau files such as the American Community Survey to full-population death data from the Social Security Administration’s Numerical Identification file (SSA </w:t>
      </w:r>
      <w:proofErr w:type="spellStart"/>
      <w:r w:rsidRPr="005A3CBC">
        <w:rPr>
          <w:rFonts w:ascii="Arial" w:hAnsi="Arial" w:cs="Arial"/>
        </w:rPr>
        <w:t>Numident</w:t>
      </w:r>
      <w:proofErr w:type="spellEnd"/>
      <w:r w:rsidRPr="005A3CBC">
        <w:rPr>
          <w:rFonts w:ascii="Arial" w:hAnsi="Arial" w:cs="Arial"/>
        </w:rPr>
        <w:t>).</w:t>
      </w:r>
    </w:p>
    <w:p w14:paraId="557004DD" w14:textId="21DFC48C" w:rsidR="007B7C8D" w:rsidRPr="00541D5C" w:rsidRDefault="00262202" w:rsidP="005A3CBC">
      <w:pPr>
        <w:rPr>
          <w:rFonts w:ascii="Arial" w:hAnsi="Arial" w:cs="Arial"/>
          <w:b/>
          <w:bCs/>
        </w:rPr>
      </w:pPr>
      <w:r w:rsidRPr="00541D5C">
        <w:rPr>
          <w:rFonts w:ascii="Arial" w:hAnsi="Arial" w:cs="Arial"/>
          <w:b/>
          <w:bCs/>
        </w:rPr>
        <w:t>The Slone Epidemiology Center (Slone)</w:t>
      </w:r>
    </w:p>
    <w:p w14:paraId="5731DD70" w14:textId="3DEF5749" w:rsidR="00F72E72" w:rsidRPr="005A3CBC" w:rsidRDefault="003741CE" w:rsidP="00F72E72">
      <w:pPr>
        <w:rPr>
          <w:rFonts w:ascii="Arial" w:hAnsi="Arial" w:cs="Arial"/>
        </w:rPr>
      </w:pPr>
      <w:r w:rsidRPr="005A3CBC">
        <w:rPr>
          <w:rFonts w:ascii="Arial" w:hAnsi="Arial" w:cs="Arial"/>
        </w:rPr>
        <w:t>F</w:t>
      </w:r>
      <w:r w:rsidR="00F72E72" w:rsidRPr="005A3CBC">
        <w:rPr>
          <w:rFonts w:ascii="Arial" w:hAnsi="Arial" w:cs="Arial"/>
        </w:rPr>
        <w:t>ounded in 1975 has collected, managed, and maintained information acquired from physicians, hospitals, and participants on over 900,000 study participants, including information on demographics and pharmaceutical use as well as medical, dietary, and disease histories. It is primarily affiliated with BUSM.</w:t>
      </w:r>
    </w:p>
    <w:p w14:paraId="2F08F245" w14:textId="77777777" w:rsidR="00F72E72" w:rsidRPr="005A3CBC" w:rsidRDefault="00F72E72" w:rsidP="00F72E72">
      <w:pPr>
        <w:rPr>
          <w:rFonts w:ascii="Arial" w:hAnsi="Arial" w:cs="Arial"/>
        </w:rPr>
      </w:pPr>
      <w:r w:rsidRPr="005A3CBC">
        <w:rPr>
          <w:rFonts w:ascii="Arial" w:hAnsi="Arial" w:cs="Arial"/>
        </w:rPr>
        <w:t xml:space="preserve">Slone is located on the Boston University Medical Campus and has access to all Medical Campus facilities (e.g., Medical Center, seminars and conferences, medical library, etc.).  Slone maintains on-going collaborations with departments in all relevant disciplines providing ready access to expertise in many fields including epidemiology, biostatistics, genetics, </w:t>
      </w:r>
      <w:proofErr w:type="gramStart"/>
      <w:r w:rsidRPr="005A3CBC">
        <w:rPr>
          <w:rFonts w:ascii="Arial" w:hAnsi="Arial" w:cs="Arial"/>
        </w:rPr>
        <w:t>informatics and</w:t>
      </w:r>
      <w:proofErr w:type="gramEnd"/>
      <w:r w:rsidRPr="005A3CBC">
        <w:rPr>
          <w:rFonts w:ascii="Arial" w:hAnsi="Arial" w:cs="Arial"/>
        </w:rPr>
        <w:t xml:space="preserve"> various other medical and public health disciplines.  Slone has a full administrative staff that supports investigators in the areas of proposal development, budget management, compliance requirements, financial administration, and all related research administration functions.  The administrative staff is also available to assist with project specific tasks as necessary.</w:t>
      </w:r>
    </w:p>
    <w:p w14:paraId="082F9EF6" w14:textId="0A6BF3A5" w:rsidR="00FB0491" w:rsidRPr="005A3CBC" w:rsidRDefault="00F72E72" w:rsidP="00F72E72">
      <w:pPr>
        <w:rPr>
          <w:rFonts w:ascii="Arial" w:hAnsi="Arial" w:cs="Arial"/>
        </w:rPr>
      </w:pPr>
      <w:r w:rsidRPr="005A3CBC">
        <w:rPr>
          <w:rFonts w:ascii="Arial" w:hAnsi="Arial" w:cs="Arial"/>
        </w:rPr>
        <w:t>Slone maintains an on-site computer center that is tailored to support the center’s current and future research efforts.  The computer center houses sufficient server capacity and network infrastructure to support research activity well into the future. Slone supports an array of computer peripherals, network printers and photocopiers, and high-speed optical scanners.  In addition, Slone maintains its own telephone exchange, voicemail software and management, and telephone cost accounting systems.</w:t>
      </w:r>
    </w:p>
    <w:p w14:paraId="07D646A0" w14:textId="2083F957" w:rsidR="00491580" w:rsidRPr="00F128CB" w:rsidRDefault="001768B7" w:rsidP="005A3CBC">
      <w:pPr>
        <w:rPr>
          <w:rFonts w:ascii="Arial" w:hAnsi="Arial" w:cs="Arial"/>
          <w:b/>
          <w:bCs/>
        </w:rPr>
      </w:pPr>
      <w:r w:rsidRPr="00F128CB">
        <w:rPr>
          <w:rFonts w:ascii="Arial" w:hAnsi="Arial" w:cs="Arial"/>
          <w:b/>
          <w:bCs/>
        </w:rPr>
        <w:t>BU</w:t>
      </w:r>
      <w:r w:rsidR="00491580" w:rsidRPr="00F128CB">
        <w:rPr>
          <w:rFonts w:ascii="Arial" w:hAnsi="Arial" w:cs="Arial"/>
          <w:b/>
          <w:bCs/>
        </w:rPr>
        <w:t xml:space="preserve"> Clinical and Translational Science Institute (BU CTSI)</w:t>
      </w:r>
    </w:p>
    <w:p w14:paraId="595FC4AB" w14:textId="51082690" w:rsidR="00491580" w:rsidRPr="005A3CBC" w:rsidRDefault="0006210D" w:rsidP="00491580">
      <w:pPr>
        <w:rPr>
          <w:rFonts w:ascii="Arial" w:hAnsi="Arial" w:cs="Arial"/>
        </w:rPr>
      </w:pPr>
      <w:r w:rsidRPr="005A3CBC">
        <w:rPr>
          <w:rFonts w:ascii="Arial" w:hAnsi="Arial" w:cs="Arial"/>
        </w:rPr>
        <w:t>T</w:t>
      </w:r>
      <w:r w:rsidR="00491580" w:rsidRPr="005A3CBC">
        <w:rPr>
          <w:rFonts w:ascii="Arial" w:hAnsi="Arial" w:cs="Arial"/>
        </w:rPr>
        <w:t xml:space="preserve">he BU hub of the national CTSA </w:t>
      </w:r>
      <w:proofErr w:type="gramStart"/>
      <w:r w:rsidR="00491580" w:rsidRPr="005A3CBC">
        <w:rPr>
          <w:rFonts w:ascii="Arial" w:hAnsi="Arial" w:cs="Arial"/>
        </w:rPr>
        <w:t>network,</w:t>
      </w:r>
      <w:proofErr w:type="gramEnd"/>
      <w:r w:rsidR="00491580" w:rsidRPr="005A3CBC">
        <w:rPr>
          <w:rFonts w:ascii="Arial" w:hAnsi="Arial" w:cs="Arial"/>
        </w:rPr>
        <w:t xml:space="preserve"> is a part of an integrated environment that supports the entire spectrum of translational research. The BU CTSI was formed in 2008 with funding from the NIH CTSA program as well as substantial support by Boston University (BU), the applicant institution, and Boston Medical Center (BMC), the major partner and the chief teaching hospital of BU School of Medicine. In 2008, in addition to BU and BMC, the BU CTSI hub included three affiliates: the BMC-affiliated Boston HealthNet network of community health centers, the Boston VA Healthcare System, and the Edith Nourse Rogers Veterans Hospital.</w:t>
      </w:r>
    </w:p>
    <w:p w14:paraId="6F3198A3" w14:textId="49F6F1BB" w:rsidR="00491580" w:rsidRPr="005A3CBC" w:rsidRDefault="00491580" w:rsidP="00491580">
      <w:pPr>
        <w:rPr>
          <w:rFonts w:ascii="Arial" w:hAnsi="Arial" w:cs="Arial"/>
        </w:rPr>
      </w:pPr>
      <w:r w:rsidRPr="005A3CBC">
        <w:rPr>
          <w:rFonts w:ascii="Arial" w:hAnsi="Arial" w:cs="Arial"/>
        </w:rPr>
        <w:t xml:space="preserve">The BU CTSI integrates, connects, and expands research and programs across traditional academic departments and schools. The Institute acts as a bridge between disciplines to facilitate interactions by incorporating multiple key programs that support the university-wide commitment to being a home for translational research. </w:t>
      </w:r>
      <w:proofErr w:type="gramStart"/>
      <w:r w:rsidRPr="005A3CBC">
        <w:rPr>
          <w:rFonts w:ascii="Arial" w:hAnsi="Arial" w:cs="Arial"/>
        </w:rPr>
        <w:t>An NIH</w:t>
      </w:r>
      <w:proofErr w:type="gramEnd"/>
      <w:r w:rsidRPr="005A3CBC">
        <w:rPr>
          <w:rFonts w:ascii="Arial" w:hAnsi="Arial" w:cs="Arial"/>
        </w:rPr>
        <w:t xml:space="preserve">-funded clinical and translational science award supports the Institute, which </w:t>
      </w:r>
      <w:proofErr w:type="gramStart"/>
      <w:r w:rsidRPr="005A3CBC">
        <w:rPr>
          <w:rFonts w:ascii="Arial" w:hAnsi="Arial" w:cs="Arial"/>
        </w:rPr>
        <w:t>builds on</w:t>
      </w:r>
      <w:proofErr w:type="gramEnd"/>
      <w:r w:rsidRPr="005A3CBC">
        <w:rPr>
          <w:rFonts w:ascii="Arial" w:hAnsi="Arial" w:cs="Arial"/>
        </w:rPr>
        <w:t xml:space="preserve"> existing strengths to create an environment linking faculty members, trainees, and university programs. The </w:t>
      </w:r>
      <w:proofErr w:type="gramStart"/>
      <w:r w:rsidRPr="005A3CBC">
        <w:rPr>
          <w:rFonts w:ascii="Arial" w:hAnsi="Arial" w:cs="Arial"/>
        </w:rPr>
        <w:t>ultimate goal</w:t>
      </w:r>
      <w:proofErr w:type="gramEnd"/>
      <w:r w:rsidRPr="005A3CBC">
        <w:rPr>
          <w:rFonts w:ascii="Arial" w:hAnsi="Arial" w:cs="Arial"/>
        </w:rPr>
        <w:t xml:space="preserve"> is to speed the translation of innovations in medical science </w:t>
      </w:r>
      <w:proofErr w:type="gramStart"/>
      <w:r w:rsidRPr="005A3CBC">
        <w:rPr>
          <w:rFonts w:ascii="Arial" w:hAnsi="Arial" w:cs="Arial"/>
        </w:rPr>
        <w:t>in order to</w:t>
      </w:r>
      <w:proofErr w:type="gramEnd"/>
      <w:r w:rsidRPr="005A3CBC">
        <w:rPr>
          <w:rFonts w:ascii="Arial" w:hAnsi="Arial" w:cs="Arial"/>
        </w:rPr>
        <w:t xml:space="preserve"> improve maintenance of health and diagnosis and treatment of diseases, and to share these innovations with other institutions with NIH-funded Clinical and Translational Science Awards (CTSAs). The BU CTSI environment also supports the bi-directional development and translation of ideas, which move from the clinic to the BUMC scientific community and </w:t>
      </w:r>
      <w:r w:rsidR="00417F3E" w:rsidRPr="005A3CBC">
        <w:rPr>
          <w:rFonts w:ascii="Arial" w:hAnsi="Arial" w:cs="Arial"/>
        </w:rPr>
        <w:t>back and</w:t>
      </w:r>
      <w:r w:rsidRPr="005A3CBC">
        <w:rPr>
          <w:rFonts w:ascii="Arial" w:hAnsi="Arial" w:cs="Arial"/>
        </w:rPr>
        <w:t xml:space="preserve"> identify new ways to improve health and delivery of health care services. Moreover, the Institute significantly enhances existing partnerships with Boston's community health centers, transforming the conduct of clinical and translational research by infusing it with community-based perspectives and needs.</w:t>
      </w:r>
    </w:p>
    <w:p w14:paraId="513C38DB" w14:textId="5C92A997" w:rsidR="00F25B97" w:rsidRPr="005A3CBC" w:rsidRDefault="00F25B97" w:rsidP="00F25B97">
      <w:pPr>
        <w:rPr>
          <w:rFonts w:ascii="Arial" w:hAnsi="Arial" w:cs="Arial"/>
        </w:rPr>
      </w:pPr>
    </w:p>
    <w:sectPr w:rsidR="00F25B97" w:rsidRPr="005A3CBC" w:rsidSect="00F446C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uggiero, Brandon" w:date="2024-02-16T09:07:00Z" w:initials="BR">
    <w:p w14:paraId="2266C1CC" w14:textId="77777777" w:rsidR="00DC4C62" w:rsidRDefault="00DC4C62" w:rsidP="00DC4C62">
      <w:pPr>
        <w:pStyle w:val="CommentText"/>
      </w:pPr>
      <w:r>
        <w:rPr>
          <w:rStyle w:val="CommentReference"/>
        </w:rPr>
        <w:annotationRef/>
      </w:r>
      <w:r>
        <w:t>INSTRUCTIONS: Please delete the sections that are not relevant to your proposal. This is a boilerplate text template provided by SPH Central Admin, but you are welcome to customize as needed. (Last Updated: February 2024)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266C1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1C77D9" w16cex:dateUtc="2024-02-16T1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66C1CC" w16cid:durableId="5A1C77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D593D" w14:textId="77777777" w:rsidR="00AB562C" w:rsidRDefault="00AB562C" w:rsidP="00C27BC4">
      <w:pPr>
        <w:spacing w:after="0" w:line="240" w:lineRule="auto"/>
      </w:pPr>
      <w:r>
        <w:separator/>
      </w:r>
    </w:p>
  </w:endnote>
  <w:endnote w:type="continuationSeparator" w:id="0">
    <w:p w14:paraId="562FD9A2" w14:textId="77777777" w:rsidR="00AB562C" w:rsidRDefault="00AB562C" w:rsidP="00C27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56DA7" w14:textId="77777777" w:rsidR="00AB562C" w:rsidRDefault="00AB562C" w:rsidP="00C27BC4">
      <w:pPr>
        <w:spacing w:after="0" w:line="240" w:lineRule="auto"/>
      </w:pPr>
      <w:r>
        <w:separator/>
      </w:r>
    </w:p>
  </w:footnote>
  <w:footnote w:type="continuationSeparator" w:id="0">
    <w:p w14:paraId="13780BEF" w14:textId="77777777" w:rsidR="00AB562C" w:rsidRDefault="00AB562C" w:rsidP="00C27B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31DB8"/>
    <w:multiLevelType w:val="hybridMultilevel"/>
    <w:tmpl w:val="C29C4B60"/>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D220E"/>
    <w:multiLevelType w:val="hybridMultilevel"/>
    <w:tmpl w:val="6FDE110C"/>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A0A90"/>
    <w:multiLevelType w:val="hybridMultilevel"/>
    <w:tmpl w:val="B0286B00"/>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B2511"/>
    <w:multiLevelType w:val="hybridMultilevel"/>
    <w:tmpl w:val="5FAE025A"/>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B21F8"/>
    <w:multiLevelType w:val="hybridMultilevel"/>
    <w:tmpl w:val="A2A4E4DE"/>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67366"/>
    <w:multiLevelType w:val="hybridMultilevel"/>
    <w:tmpl w:val="EDCADC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9F65AA"/>
    <w:multiLevelType w:val="hybridMultilevel"/>
    <w:tmpl w:val="12989B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D535B1"/>
    <w:multiLevelType w:val="hybridMultilevel"/>
    <w:tmpl w:val="02E2D832"/>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A50847"/>
    <w:multiLevelType w:val="hybridMultilevel"/>
    <w:tmpl w:val="BD10A51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650558"/>
    <w:multiLevelType w:val="hybridMultilevel"/>
    <w:tmpl w:val="52C0E88A"/>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096ED0"/>
    <w:multiLevelType w:val="hybridMultilevel"/>
    <w:tmpl w:val="3D94A752"/>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9123BD"/>
    <w:multiLevelType w:val="hybridMultilevel"/>
    <w:tmpl w:val="1FAEA5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104E1F"/>
    <w:multiLevelType w:val="hybridMultilevel"/>
    <w:tmpl w:val="5BE49946"/>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A14"/>
    <w:multiLevelType w:val="hybridMultilevel"/>
    <w:tmpl w:val="A8901632"/>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3E5A54"/>
    <w:multiLevelType w:val="hybridMultilevel"/>
    <w:tmpl w:val="21541F02"/>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932AEA"/>
    <w:multiLevelType w:val="hybridMultilevel"/>
    <w:tmpl w:val="05D61CA6"/>
    <w:lvl w:ilvl="0" w:tplc="FFFFFFFF">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0B7B63"/>
    <w:multiLevelType w:val="hybridMultilevel"/>
    <w:tmpl w:val="16A04C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3501A2"/>
    <w:multiLevelType w:val="hybridMultilevel"/>
    <w:tmpl w:val="BA36576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755603"/>
    <w:multiLevelType w:val="hybridMultilevel"/>
    <w:tmpl w:val="666EFF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B378C5"/>
    <w:multiLevelType w:val="hybridMultilevel"/>
    <w:tmpl w:val="3DEE487C"/>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1942293">
    <w:abstractNumId w:val="16"/>
  </w:num>
  <w:num w:numId="2" w16cid:durableId="1260407081">
    <w:abstractNumId w:val="17"/>
  </w:num>
  <w:num w:numId="3" w16cid:durableId="601768760">
    <w:abstractNumId w:val="18"/>
  </w:num>
  <w:num w:numId="4" w16cid:durableId="1935749945">
    <w:abstractNumId w:val="11"/>
  </w:num>
  <w:num w:numId="5" w16cid:durableId="752091687">
    <w:abstractNumId w:val="13"/>
  </w:num>
  <w:num w:numId="6" w16cid:durableId="1635525871">
    <w:abstractNumId w:val="10"/>
  </w:num>
  <w:num w:numId="7" w16cid:durableId="406537741">
    <w:abstractNumId w:val="6"/>
  </w:num>
  <w:num w:numId="8" w16cid:durableId="582646594">
    <w:abstractNumId w:val="14"/>
  </w:num>
  <w:num w:numId="9" w16cid:durableId="280382339">
    <w:abstractNumId w:val="3"/>
  </w:num>
  <w:num w:numId="10" w16cid:durableId="7030262">
    <w:abstractNumId w:val="19"/>
  </w:num>
  <w:num w:numId="11" w16cid:durableId="1358046022">
    <w:abstractNumId w:val="15"/>
  </w:num>
  <w:num w:numId="12" w16cid:durableId="638073376">
    <w:abstractNumId w:val="2"/>
  </w:num>
  <w:num w:numId="13" w16cid:durableId="459223597">
    <w:abstractNumId w:val="7"/>
  </w:num>
  <w:num w:numId="14" w16cid:durableId="1392539123">
    <w:abstractNumId w:val="9"/>
  </w:num>
  <w:num w:numId="15" w16cid:durableId="466240154">
    <w:abstractNumId w:val="12"/>
  </w:num>
  <w:num w:numId="16" w16cid:durableId="1596523479">
    <w:abstractNumId w:val="1"/>
  </w:num>
  <w:num w:numId="17" w16cid:durableId="1013724366">
    <w:abstractNumId w:val="0"/>
  </w:num>
  <w:num w:numId="18" w16cid:durableId="596865652">
    <w:abstractNumId w:val="4"/>
  </w:num>
  <w:num w:numId="19" w16cid:durableId="469638607">
    <w:abstractNumId w:val="8"/>
  </w:num>
  <w:num w:numId="20" w16cid:durableId="145158605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ggiero, Brandon">
    <w15:presenceInfo w15:providerId="AD" w15:userId="S::brandonr@bu.edu::3407880d-35a3-4a0f-adc4-1bbded91bc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2A3"/>
    <w:rsid w:val="00007A31"/>
    <w:rsid w:val="0001100B"/>
    <w:rsid w:val="000265FD"/>
    <w:rsid w:val="00040220"/>
    <w:rsid w:val="00042D31"/>
    <w:rsid w:val="00045AB2"/>
    <w:rsid w:val="00050F80"/>
    <w:rsid w:val="00060AA8"/>
    <w:rsid w:val="00060C0E"/>
    <w:rsid w:val="0006210D"/>
    <w:rsid w:val="000742EF"/>
    <w:rsid w:val="00074407"/>
    <w:rsid w:val="000745FA"/>
    <w:rsid w:val="000769DB"/>
    <w:rsid w:val="00080FAA"/>
    <w:rsid w:val="000863F3"/>
    <w:rsid w:val="00092000"/>
    <w:rsid w:val="000B72E4"/>
    <w:rsid w:val="000C2980"/>
    <w:rsid w:val="000D747C"/>
    <w:rsid w:val="000E15DD"/>
    <w:rsid w:val="000F2E52"/>
    <w:rsid w:val="000F36C5"/>
    <w:rsid w:val="000F5187"/>
    <w:rsid w:val="000F7D60"/>
    <w:rsid w:val="001024B5"/>
    <w:rsid w:val="0011167D"/>
    <w:rsid w:val="001125EB"/>
    <w:rsid w:val="00112A7C"/>
    <w:rsid w:val="00116946"/>
    <w:rsid w:val="0012335D"/>
    <w:rsid w:val="00144332"/>
    <w:rsid w:val="00146E52"/>
    <w:rsid w:val="00157FFB"/>
    <w:rsid w:val="00163ABC"/>
    <w:rsid w:val="001768B7"/>
    <w:rsid w:val="00184370"/>
    <w:rsid w:val="001A50FD"/>
    <w:rsid w:val="001B2A5A"/>
    <w:rsid w:val="001B4499"/>
    <w:rsid w:val="001B47A1"/>
    <w:rsid w:val="001D79CA"/>
    <w:rsid w:val="001E1519"/>
    <w:rsid w:val="001E3945"/>
    <w:rsid w:val="001F22B0"/>
    <w:rsid w:val="00207340"/>
    <w:rsid w:val="0021259C"/>
    <w:rsid w:val="00212DF2"/>
    <w:rsid w:val="002144FE"/>
    <w:rsid w:val="00217A7A"/>
    <w:rsid w:val="00222438"/>
    <w:rsid w:val="00236E42"/>
    <w:rsid w:val="00241E1A"/>
    <w:rsid w:val="00242AA3"/>
    <w:rsid w:val="002431F3"/>
    <w:rsid w:val="00254451"/>
    <w:rsid w:val="00257235"/>
    <w:rsid w:val="00262202"/>
    <w:rsid w:val="002865DA"/>
    <w:rsid w:val="00286B67"/>
    <w:rsid w:val="00287BD5"/>
    <w:rsid w:val="00292A00"/>
    <w:rsid w:val="00297B31"/>
    <w:rsid w:val="002A2141"/>
    <w:rsid w:val="002B455A"/>
    <w:rsid w:val="002E2DD1"/>
    <w:rsid w:val="002F352A"/>
    <w:rsid w:val="002F4220"/>
    <w:rsid w:val="00307430"/>
    <w:rsid w:val="00311048"/>
    <w:rsid w:val="00321E6B"/>
    <w:rsid w:val="003232BD"/>
    <w:rsid w:val="00323D6B"/>
    <w:rsid w:val="00337CD5"/>
    <w:rsid w:val="00343CEC"/>
    <w:rsid w:val="003446FD"/>
    <w:rsid w:val="00344CB4"/>
    <w:rsid w:val="003456F4"/>
    <w:rsid w:val="003741CE"/>
    <w:rsid w:val="00382195"/>
    <w:rsid w:val="00391F66"/>
    <w:rsid w:val="003B1D9F"/>
    <w:rsid w:val="003B64C4"/>
    <w:rsid w:val="003C0207"/>
    <w:rsid w:val="003D0A1E"/>
    <w:rsid w:val="003D3121"/>
    <w:rsid w:val="003D3883"/>
    <w:rsid w:val="00404B9F"/>
    <w:rsid w:val="00407657"/>
    <w:rsid w:val="00412FC7"/>
    <w:rsid w:val="00417F3E"/>
    <w:rsid w:val="00446008"/>
    <w:rsid w:val="0044711F"/>
    <w:rsid w:val="004525B3"/>
    <w:rsid w:val="00454CDB"/>
    <w:rsid w:val="0045585C"/>
    <w:rsid w:val="00467C8B"/>
    <w:rsid w:val="0047032E"/>
    <w:rsid w:val="004739F7"/>
    <w:rsid w:val="00490A01"/>
    <w:rsid w:val="00491580"/>
    <w:rsid w:val="004917D0"/>
    <w:rsid w:val="004926B8"/>
    <w:rsid w:val="004A4453"/>
    <w:rsid w:val="004B34CF"/>
    <w:rsid w:val="004C20FB"/>
    <w:rsid w:val="004C6E9E"/>
    <w:rsid w:val="004D5724"/>
    <w:rsid w:val="004E038A"/>
    <w:rsid w:val="004E5AA5"/>
    <w:rsid w:val="004F2D8C"/>
    <w:rsid w:val="0050449D"/>
    <w:rsid w:val="00507F6F"/>
    <w:rsid w:val="00514E81"/>
    <w:rsid w:val="00530A73"/>
    <w:rsid w:val="00531766"/>
    <w:rsid w:val="00534372"/>
    <w:rsid w:val="00541D5C"/>
    <w:rsid w:val="00545CE8"/>
    <w:rsid w:val="00546DFB"/>
    <w:rsid w:val="005520E4"/>
    <w:rsid w:val="0056464A"/>
    <w:rsid w:val="00564711"/>
    <w:rsid w:val="00567EAA"/>
    <w:rsid w:val="00582C99"/>
    <w:rsid w:val="00595600"/>
    <w:rsid w:val="005A3CBC"/>
    <w:rsid w:val="005B2AF1"/>
    <w:rsid w:val="005B40B3"/>
    <w:rsid w:val="005B7709"/>
    <w:rsid w:val="005E16E0"/>
    <w:rsid w:val="005E51F6"/>
    <w:rsid w:val="005F0C43"/>
    <w:rsid w:val="005F20F6"/>
    <w:rsid w:val="006042E4"/>
    <w:rsid w:val="00623BB1"/>
    <w:rsid w:val="006271DC"/>
    <w:rsid w:val="006315EE"/>
    <w:rsid w:val="00643243"/>
    <w:rsid w:val="0065163E"/>
    <w:rsid w:val="00651DB9"/>
    <w:rsid w:val="00653541"/>
    <w:rsid w:val="00663535"/>
    <w:rsid w:val="0067054D"/>
    <w:rsid w:val="00673E24"/>
    <w:rsid w:val="0067421A"/>
    <w:rsid w:val="0068085E"/>
    <w:rsid w:val="006811C9"/>
    <w:rsid w:val="0068122B"/>
    <w:rsid w:val="006A2CB6"/>
    <w:rsid w:val="006B1A3C"/>
    <w:rsid w:val="006B7E24"/>
    <w:rsid w:val="006B7E41"/>
    <w:rsid w:val="006D0391"/>
    <w:rsid w:val="006D18D9"/>
    <w:rsid w:val="006D2DF9"/>
    <w:rsid w:val="006D4965"/>
    <w:rsid w:val="006D6789"/>
    <w:rsid w:val="006D7813"/>
    <w:rsid w:val="006F1A3F"/>
    <w:rsid w:val="00701ADD"/>
    <w:rsid w:val="007177E6"/>
    <w:rsid w:val="00725953"/>
    <w:rsid w:val="00733D9D"/>
    <w:rsid w:val="00754F9F"/>
    <w:rsid w:val="007610AA"/>
    <w:rsid w:val="00784C35"/>
    <w:rsid w:val="00790FC9"/>
    <w:rsid w:val="0079611B"/>
    <w:rsid w:val="007A0AC5"/>
    <w:rsid w:val="007B0017"/>
    <w:rsid w:val="007B7C8D"/>
    <w:rsid w:val="007D1957"/>
    <w:rsid w:val="007E27FC"/>
    <w:rsid w:val="007F73CB"/>
    <w:rsid w:val="00803255"/>
    <w:rsid w:val="008070BE"/>
    <w:rsid w:val="00825D89"/>
    <w:rsid w:val="008330C2"/>
    <w:rsid w:val="00836AF2"/>
    <w:rsid w:val="00850A24"/>
    <w:rsid w:val="00855D80"/>
    <w:rsid w:val="00861BA3"/>
    <w:rsid w:val="00862A49"/>
    <w:rsid w:val="008725ED"/>
    <w:rsid w:val="0087624A"/>
    <w:rsid w:val="00876CE5"/>
    <w:rsid w:val="00880EA5"/>
    <w:rsid w:val="00885AC7"/>
    <w:rsid w:val="008A4F59"/>
    <w:rsid w:val="008A6C28"/>
    <w:rsid w:val="008B0338"/>
    <w:rsid w:val="008C61B3"/>
    <w:rsid w:val="008D3D08"/>
    <w:rsid w:val="008F2288"/>
    <w:rsid w:val="008F5B97"/>
    <w:rsid w:val="008F6B9B"/>
    <w:rsid w:val="0090193A"/>
    <w:rsid w:val="00902023"/>
    <w:rsid w:val="00906DE9"/>
    <w:rsid w:val="009121B8"/>
    <w:rsid w:val="009139DB"/>
    <w:rsid w:val="0092003F"/>
    <w:rsid w:val="0093076A"/>
    <w:rsid w:val="00935D7A"/>
    <w:rsid w:val="009376FD"/>
    <w:rsid w:val="00941263"/>
    <w:rsid w:val="00944C07"/>
    <w:rsid w:val="00945796"/>
    <w:rsid w:val="009548DF"/>
    <w:rsid w:val="00955F6C"/>
    <w:rsid w:val="0096322F"/>
    <w:rsid w:val="00981EBF"/>
    <w:rsid w:val="00992267"/>
    <w:rsid w:val="009942BB"/>
    <w:rsid w:val="009A007D"/>
    <w:rsid w:val="009A5D4B"/>
    <w:rsid w:val="009B09FA"/>
    <w:rsid w:val="009B1D04"/>
    <w:rsid w:val="009B4E95"/>
    <w:rsid w:val="009B6F78"/>
    <w:rsid w:val="009D2A6D"/>
    <w:rsid w:val="009F6876"/>
    <w:rsid w:val="00A00DCA"/>
    <w:rsid w:val="00A0570C"/>
    <w:rsid w:val="00A10991"/>
    <w:rsid w:val="00A12CAD"/>
    <w:rsid w:val="00A21122"/>
    <w:rsid w:val="00A2775B"/>
    <w:rsid w:val="00A348D4"/>
    <w:rsid w:val="00A40694"/>
    <w:rsid w:val="00A40CB1"/>
    <w:rsid w:val="00A437BA"/>
    <w:rsid w:val="00A43A23"/>
    <w:rsid w:val="00A52587"/>
    <w:rsid w:val="00A57FED"/>
    <w:rsid w:val="00A64546"/>
    <w:rsid w:val="00A74E07"/>
    <w:rsid w:val="00A77CA1"/>
    <w:rsid w:val="00A86610"/>
    <w:rsid w:val="00A95E89"/>
    <w:rsid w:val="00AA16FE"/>
    <w:rsid w:val="00AB3504"/>
    <w:rsid w:val="00AB562C"/>
    <w:rsid w:val="00AB7C0E"/>
    <w:rsid w:val="00AC6789"/>
    <w:rsid w:val="00AE04F9"/>
    <w:rsid w:val="00B129E8"/>
    <w:rsid w:val="00B13A1B"/>
    <w:rsid w:val="00B16E78"/>
    <w:rsid w:val="00B255C3"/>
    <w:rsid w:val="00B26078"/>
    <w:rsid w:val="00B31E8D"/>
    <w:rsid w:val="00B41AC2"/>
    <w:rsid w:val="00B42658"/>
    <w:rsid w:val="00B56BCF"/>
    <w:rsid w:val="00B6029C"/>
    <w:rsid w:val="00B86683"/>
    <w:rsid w:val="00B94655"/>
    <w:rsid w:val="00B975AB"/>
    <w:rsid w:val="00BB04FB"/>
    <w:rsid w:val="00BB3C01"/>
    <w:rsid w:val="00BD36B3"/>
    <w:rsid w:val="00BD57F0"/>
    <w:rsid w:val="00BD5F34"/>
    <w:rsid w:val="00BE6312"/>
    <w:rsid w:val="00BF2747"/>
    <w:rsid w:val="00C04C12"/>
    <w:rsid w:val="00C2097C"/>
    <w:rsid w:val="00C22F90"/>
    <w:rsid w:val="00C27BC4"/>
    <w:rsid w:val="00C32B5B"/>
    <w:rsid w:val="00C333FD"/>
    <w:rsid w:val="00C371AD"/>
    <w:rsid w:val="00C5152C"/>
    <w:rsid w:val="00C54334"/>
    <w:rsid w:val="00C55CC8"/>
    <w:rsid w:val="00C72A5A"/>
    <w:rsid w:val="00CA75CB"/>
    <w:rsid w:val="00CB2C83"/>
    <w:rsid w:val="00CC384E"/>
    <w:rsid w:val="00CC3C96"/>
    <w:rsid w:val="00CC6610"/>
    <w:rsid w:val="00CD3286"/>
    <w:rsid w:val="00CE0E1E"/>
    <w:rsid w:val="00CE4BD1"/>
    <w:rsid w:val="00CE52A3"/>
    <w:rsid w:val="00CF4CBD"/>
    <w:rsid w:val="00CF5465"/>
    <w:rsid w:val="00CF6BB5"/>
    <w:rsid w:val="00D003BF"/>
    <w:rsid w:val="00D05C5C"/>
    <w:rsid w:val="00D066DE"/>
    <w:rsid w:val="00D15FFF"/>
    <w:rsid w:val="00D20D96"/>
    <w:rsid w:val="00D278C7"/>
    <w:rsid w:val="00D31A13"/>
    <w:rsid w:val="00D323AB"/>
    <w:rsid w:val="00D409B0"/>
    <w:rsid w:val="00D4124A"/>
    <w:rsid w:val="00D5426C"/>
    <w:rsid w:val="00D8451D"/>
    <w:rsid w:val="00D85761"/>
    <w:rsid w:val="00D85C5F"/>
    <w:rsid w:val="00D936D3"/>
    <w:rsid w:val="00DA5A0A"/>
    <w:rsid w:val="00DC4C62"/>
    <w:rsid w:val="00DD7477"/>
    <w:rsid w:val="00DF0460"/>
    <w:rsid w:val="00DF0E7A"/>
    <w:rsid w:val="00DF11E3"/>
    <w:rsid w:val="00E05DCC"/>
    <w:rsid w:val="00E1522A"/>
    <w:rsid w:val="00E17C97"/>
    <w:rsid w:val="00E17CA2"/>
    <w:rsid w:val="00E21437"/>
    <w:rsid w:val="00E358F7"/>
    <w:rsid w:val="00E35B7A"/>
    <w:rsid w:val="00E42D7A"/>
    <w:rsid w:val="00E5084E"/>
    <w:rsid w:val="00E661D3"/>
    <w:rsid w:val="00E70CA6"/>
    <w:rsid w:val="00E71EBE"/>
    <w:rsid w:val="00E72278"/>
    <w:rsid w:val="00E76213"/>
    <w:rsid w:val="00E827CF"/>
    <w:rsid w:val="00E84E09"/>
    <w:rsid w:val="00E86171"/>
    <w:rsid w:val="00E869C7"/>
    <w:rsid w:val="00EA3FBF"/>
    <w:rsid w:val="00EA7567"/>
    <w:rsid w:val="00EC2CEC"/>
    <w:rsid w:val="00ED0260"/>
    <w:rsid w:val="00ED11E9"/>
    <w:rsid w:val="00ED3D36"/>
    <w:rsid w:val="00EE5D21"/>
    <w:rsid w:val="00F06155"/>
    <w:rsid w:val="00F06683"/>
    <w:rsid w:val="00F128CB"/>
    <w:rsid w:val="00F17CDE"/>
    <w:rsid w:val="00F25B97"/>
    <w:rsid w:val="00F40DBB"/>
    <w:rsid w:val="00F446C1"/>
    <w:rsid w:val="00F514B7"/>
    <w:rsid w:val="00F51DDC"/>
    <w:rsid w:val="00F5284B"/>
    <w:rsid w:val="00F54FF5"/>
    <w:rsid w:val="00F550AC"/>
    <w:rsid w:val="00F72490"/>
    <w:rsid w:val="00F72E72"/>
    <w:rsid w:val="00F80B5D"/>
    <w:rsid w:val="00F81308"/>
    <w:rsid w:val="00F855F3"/>
    <w:rsid w:val="00F91289"/>
    <w:rsid w:val="00F95798"/>
    <w:rsid w:val="00F9747D"/>
    <w:rsid w:val="00FA003C"/>
    <w:rsid w:val="00FA114C"/>
    <w:rsid w:val="00FA1F94"/>
    <w:rsid w:val="00FA2337"/>
    <w:rsid w:val="00FA3395"/>
    <w:rsid w:val="00FB0491"/>
    <w:rsid w:val="00FD01E4"/>
    <w:rsid w:val="00FD35E4"/>
    <w:rsid w:val="00FD78DC"/>
    <w:rsid w:val="00FE5FD0"/>
    <w:rsid w:val="00FE7A4F"/>
    <w:rsid w:val="00FF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C19D5"/>
  <w15:chartTrackingRefBased/>
  <w15:docId w15:val="{9041F0A0-8C8F-4C87-B26B-91F236252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1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31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07A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1E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72490"/>
    <w:pPr>
      <w:ind w:left="720"/>
      <w:contextualSpacing/>
    </w:pPr>
  </w:style>
  <w:style w:type="character" w:customStyle="1" w:styleId="Heading2Char">
    <w:name w:val="Heading 2 Char"/>
    <w:basedOn w:val="DefaultParagraphFont"/>
    <w:link w:val="Heading2"/>
    <w:uiPriority w:val="9"/>
    <w:rsid w:val="003D3121"/>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27B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BC4"/>
  </w:style>
  <w:style w:type="paragraph" w:styleId="Footer">
    <w:name w:val="footer"/>
    <w:basedOn w:val="Normal"/>
    <w:link w:val="FooterChar"/>
    <w:uiPriority w:val="99"/>
    <w:unhideWhenUsed/>
    <w:rsid w:val="00C27B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BC4"/>
  </w:style>
  <w:style w:type="paragraph" w:styleId="CommentText">
    <w:name w:val="annotation text"/>
    <w:basedOn w:val="Normal"/>
    <w:link w:val="CommentTextChar"/>
    <w:uiPriority w:val="99"/>
    <w:semiHidden/>
    <w:rsid w:val="00FA003C"/>
    <w:pPr>
      <w:autoSpaceDE w:val="0"/>
      <w:autoSpaceDN w:val="0"/>
      <w:spacing w:after="0" w:line="240" w:lineRule="auto"/>
    </w:pPr>
    <w:rPr>
      <w:rFonts w:ascii="Times" w:eastAsia="Times New Roman" w:hAnsi="Times" w:cs="Times"/>
      <w:kern w:val="0"/>
      <w:sz w:val="20"/>
      <w:szCs w:val="20"/>
      <w14:ligatures w14:val="none"/>
    </w:rPr>
  </w:style>
  <w:style w:type="character" w:customStyle="1" w:styleId="CommentTextChar">
    <w:name w:val="Comment Text Char"/>
    <w:basedOn w:val="DefaultParagraphFont"/>
    <w:link w:val="CommentText"/>
    <w:uiPriority w:val="99"/>
    <w:semiHidden/>
    <w:rsid w:val="00FA003C"/>
    <w:rPr>
      <w:rFonts w:ascii="Times" w:eastAsia="Times New Roman" w:hAnsi="Times" w:cs="Times"/>
      <w:kern w:val="0"/>
      <w:sz w:val="20"/>
      <w:szCs w:val="20"/>
      <w14:ligatures w14:val="none"/>
    </w:rPr>
  </w:style>
  <w:style w:type="character" w:styleId="CommentReference">
    <w:name w:val="annotation reference"/>
    <w:uiPriority w:val="99"/>
    <w:semiHidden/>
    <w:rsid w:val="00FA003C"/>
    <w:rPr>
      <w:sz w:val="16"/>
      <w:szCs w:val="16"/>
    </w:rPr>
  </w:style>
  <w:style w:type="character" w:customStyle="1" w:styleId="Heading3Char">
    <w:name w:val="Heading 3 Char"/>
    <w:basedOn w:val="DefaultParagraphFont"/>
    <w:link w:val="Heading3"/>
    <w:uiPriority w:val="9"/>
    <w:rsid w:val="00007A31"/>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E358F7"/>
    <w:pPr>
      <w:spacing w:after="0" w:line="240" w:lineRule="auto"/>
    </w:pPr>
  </w:style>
  <w:style w:type="paragraph" w:styleId="CommentSubject">
    <w:name w:val="annotation subject"/>
    <w:basedOn w:val="CommentText"/>
    <w:next w:val="CommentText"/>
    <w:link w:val="CommentSubjectChar"/>
    <w:uiPriority w:val="99"/>
    <w:semiHidden/>
    <w:unhideWhenUsed/>
    <w:rsid w:val="00E358F7"/>
    <w:pPr>
      <w:autoSpaceDE/>
      <w:autoSpaceDN/>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E358F7"/>
    <w:rPr>
      <w:rFonts w:ascii="Times" w:eastAsia="Times New Roman" w:hAnsi="Times" w:cs="Times"/>
      <w:b/>
      <w:bCs/>
      <w:kern w:val="0"/>
      <w:sz w:val="20"/>
      <w:szCs w:val="20"/>
      <w14:ligatures w14:val="none"/>
    </w:rPr>
  </w:style>
  <w:style w:type="character" w:styleId="PageNumber">
    <w:name w:val="page number"/>
    <w:basedOn w:val="DefaultParagraphFont"/>
    <w:uiPriority w:val="99"/>
    <w:semiHidden/>
    <w:unhideWhenUsed/>
    <w:rsid w:val="00E66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78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6</Pages>
  <Words>3497</Words>
  <Characters>21370</Characters>
  <Application>Microsoft Office Word</Application>
  <DocSecurity>0</DocSecurity>
  <Lines>647</Lines>
  <Paragraphs>478</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Ruggiero, Brandon</dc:creator>
  <cp:keywords/>
  <dc:description/>
  <cp:lastModifiedBy>Ruggiero, Brandon</cp:lastModifiedBy>
  <cp:revision>12</cp:revision>
  <dcterms:created xsi:type="dcterms:W3CDTF">2024-02-15T21:23:00Z</dcterms:created>
  <dcterms:modified xsi:type="dcterms:W3CDTF">2025-05-12T19:40:00Z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21653aa7e1301db77165a8109ebeb9a6909b42bd2b95dc5afe2bb0c336381e0a</vt:lpwstr>
  </property>
</Properties>
</file>