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A7F597" w14:textId="1BFE4451" w:rsidR="00AF1BDF" w:rsidRDefault="00AF1BDF" w:rsidP="004F591C">
      <w:pPr>
        <w:shd w:val="clear" w:color="auto" w:fill="FFFFFF"/>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Title: CRC Single IRB Review Policy</w:t>
      </w:r>
    </w:p>
    <w:p w14:paraId="0F2BD34A" w14:textId="77777777" w:rsidR="00AF1BDF" w:rsidRDefault="00AF1BDF" w:rsidP="004F591C">
      <w:pPr>
        <w:shd w:val="clear" w:color="auto" w:fill="FFFFFF"/>
        <w:spacing w:after="0" w:line="240" w:lineRule="auto"/>
        <w:jc w:val="both"/>
        <w:rPr>
          <w:rFonts w:ascii="Times New Roman" w:eastAsia="Times New Roman" w:hAnsi="Times New Roman" w:cs="Times New Roman"/>
          <w:b/>
          <w:bCs/>
          <w:sz w:val="24"/>
          <w:szCs w:val="24"/>
        </w:rPr>
      </w:pPr>
    </w:p>
    <w:p w14:paraId="54B64656" w14:textId="25858AD5" w:rsidR="008A4D84" w:rsidRPr="004F591C" w:rsidRDefault="008A4D84" w:rsidP="004F591C">
      <w:pPr>
        <w:shd w:val="clear" w:color="auto" w:fill="FFFFFF"/>
        <w:spacing w:after="0" w:line="240" w:lineRule="auto"/>
        <w:jc w:val="both"/>
        <w:rPr>
          <w:rFonts w:ascii="Times New Roman" w:eastAsia="Times New Roman" w:hAnsi="Times New Roman" w:cs="Times New Roman"/>
          <w:sz w:val="24"/>
          <w:szCs w:val="24"/>
        </w:rPr>
      </w:pPr>
      <w:r w:rsidRPr="004F591C">
        <w:rPr>
          <w:rFonts w:ascii="Times New Roman" w:eastAsia="Times New Roman" w:hAnsi="Times New Roman" w:cs="Times New Roman"/>
          <w:b/>
          <w:bCs/>
          <w:sz w:val="24"/>
          <w:szCs w:val="24"/>
        </w:rPr>
        <w:t>Purpose:</w:t>
      </w:r>
    </w:p>
    <w:p w14:paraId="6FB52D54" w14:textId="77777777" w:rsidR="0021783C" w:rsidRPr="004F591C" w:rsidRDefault="0021783C" w:rsidP="004F591C">
      <w:pPr>
        <w:shd w:val="clear" w:color="auto" w:fill="FFFFFF"/>
        <w:spacing w:after="0" w:line="240" w:lineRule="auto"/>
        <w:jc w:val="both"/>
        <w:rPr>
          <w:rFonts w:ascii="Times New Roman" w:eastAsia="Times New Roman" w:hAnsi="Times New Roman" w:cs="Times New Roman"/>
          <w:sz w:val="24"/>
          <w:szCs w:val="24"/>
        </w:rPr>
      </w:pPr>
    </w:p>
    <w:p w14:paraId="1498D26D" w14:textId="11A0ACDE" w:rsidR="008A4D84" w:rsidRPr="004F591C" w:rsidRDefault="008A4D84" w:rsidP="004F591C">
      <w:pPr>
        <w:shd w:val="clear" w:color="auto" w:fill="FFFFFF"/>
        <w:spacing w:after="0" w:line="240" w:lineRule="auto"/>
        <w:jc w:val="both"/>
        <w:rPr>
          <w:rFonts w:ascii="Times New Roman" w:eastAsia="Times New Roman" w:hAnsi="Times New Roman" w:cs="Times New Roman"/>
          <w:sz w:val="24"/>
          <w:szCs w:val="24"/>
        </w:rPr>
      </w:pPr>
      <w:r w:rsidRPr="004F591C">
        <w:rPr>
          <w:rFonts w:ascii="Times New Roman" w:eastAsia="Times New Roman" w:hAnsi="Times New Roman" w:cs="Times New Roman"/>
          <w:sz w:val="24"/>
          <w:szCs w:val="24"/>
        </w:rPr>
        <w:t xml:space="preserve">The purpose of this policy is to define the </w:t>
      </w:r>
      <w:r w:rsidR="004368CB">
        <w:rPr>
          <w:rFonts w:ascii="Times New Roman" w:eastAsia="Times New Roman" w:hAnsi="Times New Roman" w:cs="Times New Roman"/>
          <w:sz w:val="24"/>
          <w:szCs w:val="24"/>
        </w:rPr>
        <w:t xml:space="preserve">requirements and </w:t>
      </w:r>
      <w:r w:rsidRPr="004F591C">
        <w:rPr>
          <w:rFonts w:ascii="Times New Roman" w:eastAsia="Times New Roman" w:hAnsi="Times New Roman" w:cs="Times New Roman"/>
          <w:sz w:val="24"/>
          <w:szCs w:val="24"/>
        </w:rPr>
        <w:t xml:space="preserve">process for the use of single IRB review </w:t>
      </w:r>
      <w:r w:rsidR="004F591C" w:rsidRPr="004F591C">
        <w:rPr>
          <w:rFonts w:ascii="Times New Roman" w:eastAsia="Times New Roman" w:hAnsi="Times New Roman" w:cs="Times New Roman"/>
          <w:sz w:val="24"/>
          <w:szCs w:val="24"/>
        </w:rPr>
        <w:t>of</w:t>
      </w:r>
      <w:r w:rsidRPr="004F591C">
        <w:rPr>
          <w:rFonts w:ascii="Times New Roman" w:eastAsia="Times New Roman" w:hAnsi="Times New Roman" w:cs="Times New Roman"/>
          <w:sz w:val="24"/>
          <w:szCs w:val="24"/>
        </w:rPr>
        <w:t xml:space="preserve"> </w:t>
      </w:r>
      <w:r w:rsidR="004F591C" w:rsidRPr="004F591C">
        <w:rPr>
          <w:rFonts w:ascii="Times New Roman" w:eastAsia="Times New Roman" w:hAnsi="Times New Roman" w:cs="Times New Roman"/>
          <w:sz w:val="24"/>
          <w:szCs w:val="24"/>
        </w:rPr>
        <w:t xml:space="preserve">cooperative and </w:t>
      </w:r>
      <w:r w:rsidRPr="004F591C">
        <w:rPr>
          <w:rFonts w:ascii="Times New Roman" w:eastAsia="Times New Roman" w:hAnsi="Times New Roman" w:cs="Times New Roman"/>
          <w:sz w:val="24"/>
          <w:szCs w:val="24"/>
        </w:rPr>
        <w:t xml:space="preserve">multi-site </w:t>
      </w:r>
      <w:r w:rsidR="004368CB">
        <w:rPr>
          <w:rFonts w:ascii="Times New Roman" w:eastAsia="Times New Roman" w:hAnsi="Times New Roman" w:cs="Times New Roman"/>
          <w:sz w:val="24"/>
          <w:szCs w:val="24"/>
        </w:rPr>
        <w:t xml:space="preserve">research </w:t>
      </w:r>
      <w:r w:rsidRPr="004F591C">
        <w:rPr>
          <w:rFonts w:ascii="Times New Roman" w:eastAsia="Times New Roman" w:hAnsi="Times New Roman" w:cs="Times New Roman"/>
          <w:sz w:val="24"/>
          <w:szCs w:val="24"/>
        </w:rPr>
        <w:t>studies</w:t>
      </w:r>
      <w:r w:rsidR="004368CB">
        <w:rPr>
          <w:rFonts w:ascii="Times New Roman" w:eastAsia="Times New Roman" w:hAnsi="Times New Roman" w:cs="Times New Roman"/>
          <w:sz w:val="24"/>
          <w:szCs w:val="24"/>
        </w:rPr>
        <w:t xml:space="preserve"> that engage the Charles River Campus and its Investigators</w:t>
      </w:r>
      <w:r w:rsidRPr="004F591C">
        <w:rPr>
          <w:rFonts w:ascii="Times New Roman" w:eastAsia="Times New Roman" w:hAnsi="Times New Roman" w:cs="Times New Roman"/>
          <w:sz w:val="24"/>
          <w:szCs w:val="24"/>
        </w:rPr>
        <w:t>.</w:t>
      </w:r>
      <w:r w:rsidR="00693A80" w:rsidRPr="004F591C">
        <w:rPr>
          <w:rFonts w:ascii="Times New Roman" w:eastAsia="Times New Roman" w:hAnsi="Times New Roman" w:cs="Times New Roman"/>
          <w:sz w:val="24"/>
          <w:szCs w:val="24"/>
        </w:rPr>
        <w:t xml:space="preserve"> </w:t>
      </w:r>
    </w:p>
    <w:p w14:paraId="45CD4A15" w14:textId="77777777" w:rsidR="008A4D84" w:rsidRPr="004F591C" w:rsidRDefault="008A4D84" w:rsidP="004F591C">
      <w:pPr>
        <w:shd w:val="clear" w:color="auto" w:fill="FFFFFF"/>
        <w:spacing w:after="0" w:line="240" w:lineRule="auto"/>
        <w:jc w:val="both"/>
        <w:rPr>
          <w:rFonts w:ascii="Times New Roman" w:eastAsia="Times New Roman" w:hAnsi="Times New Roman" w:cs="Times New Roman"/>
          <w:b/>
          <w:bCs/>
          <w:sz w:val="24"/>
          <w:szCs w:val="24"/>
        </w:rPr>
      </w:pPr>
    </w:p>
    <w:p w14:paraId="07B12A85" w14:textId="122434FB" w:rsidR="00F92F4F" w:rsidRDefault="008A4D84" w:rsidP="004F591C">
      <w:pPr>
        <w:shd w:val="clear" w:color="auto" w:fill="FFFFFF"/>
        <w:spacing w:after="0" w:line="240" w:lineRule="auto"/>
        <w:jc w:val="both"/>
        <w:rPr>
          <w:rFonts w:ascii="Times New Roman" w:eastAsia="Times New Roman" w:hAnsi="Times New Roman" w:cs="Times New Roman"/>
          <w:b/>
          <w:bCs/>
          <w:sz w:val="24"/>
          <w:szCs w:val="24"/>
        </w:rPr>
      </w:pPr>
      <w:r w:rsidRPr="004F591C">
        <w:rPr>
          <w:rFonts w:ascii="Times New Roman" w:eastAsia="Times New Roman" w:hAnsi="Times New Roman" w:cs="Times New Roman"/>
          <w:b/>
          <w:bCs/>
          <w:sz w:val="24"/>
          <w:szCs w:val="24"/>
        </w:rPr>
        <w:t>Defined Terms:</w:t>
      </w:r>
    </w:p>
    <w:p w14:paraId="121148F8" w14:textId="77777777" w:rsidR="00566C63" w:rsidRPr="004F591C" w:rsidRDefault="00566C63" w:rsidP="004F591C">
      <w:pPr>
        <w:shd w:val="clear" w:color="auto" w:fill="FFFFFF"/>
        <w:spacing w:after="0" w:line="240" w:lineRule="auto"/>
        <w:jc w:val="both"/>
        <w:rPr>
          <w:rFonts w:ascii="Times New Roman" w:eastAsia="Times New Roman" w:hAnsi="Times New Roman" w:cs="Times New Roman"/>
          <w:b/>
          <w:bCs/>
          <w:sz w:val="24"/>
          <w:szCs w:val="24"/>
        </w:rPr>
      </w:pPr>
    </w:p>
    <w:p w14:paraId="7AA2E4BF" w14:textId="17FEFA9D" w:rsidR="004368CB" w:rsidRPr="000B2DF5" w:rsidRDefault="004368CB" w:rsidP="001E28BE">
      <w:pPr>
        <w:pStyle w:val="ListParagraph"/>
        <w:numPr>
          <w:ilvl w:val="0"/>
          <w:numId w:val="32"/>
        </w:numPr>
        <w:shd w:val="clear" w:color="auto" w:fill="FFFFFF"/>
        <w:spacing w:after="0"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Cooperative Research:</w:t>
      </w:r>
      <w:r w:rsidRPr="00BC4E14">
        <w:rPr>
          <w:rFonts w:ascii="Helvetica" w:hAnsi="Helvetica"/>
          <w:i/>
          <w:iCs/>
          <w:color w:val="000000"/>
          <w:sz w:val="26"/>
          <w:szCs w:val="26"/>
          <w:shd w:val="clear" w:color="auto" w:fill="FFFFFF"/>
        </w:rPr>
        <w:t xml:space="preserve"> </w:t>
      </w:r>
      <w:r w:rsidR="001E28BE">
        <w:rPr>
          <w:rFonts w:ascii="Times New Roman" w:hAnsi="Times New Roman" w:cs="Times New Roman"/>
          <w:color w:val="000000"/>
          <w:sz w:val="24"/>
          <w:szCs w:val="24"/>
          <w:shd w:val="clear" w:color="auto" w:fill="FFFFFF"/>
        </w:rPr>
        <w:t>R</w:t>
      </w:r>
      <w:r>
        <w:rPr>
          <w:rFonts w:ascii="Times New Roman" w:hAnsi="Times New Roman" w:cs="Times New Roman"/>
          <w:color w:val="000000"/>
          <w:sz w:val="24"/>
          <w:szCs w:val="24"/>
          <w:shd w:val="clear" w:color="auto" w:fill="FFFFFF"/>
        </w:rPr>
        <w:t>esearch projects</w:t>
      </w:r>
      <w:r w:rsidRPr="00EB06A2">
        <w:rPr>
          <w:rFonts w:ascii="Times New Roman" w:hAnsi="Times New Roman" w:cs="Times New Roman"/>
          <w:color w:val="000000"/>
          <w:sz w:val="24"/>
          <w:szCs w:val="24"/>
          <w:shd w:val="clear" w:color="auto" w:fill="FFFFFF"/>
        </w:rPr>
        <w:t xml:space="preserve"> that involve more than one institution. </w:t>
      </w:r>
    </w:p>
    <w:p w14:paraId="638B2AE9" w14:textId="5FFE977A" w:rsidR="0021783C" w:rsidRPr="004368CB" w:rsidRDefault="004368CB" w:rsidP="001E28BE">
      <w:pPr>
        <w:pStyle w:val="ListParagraph"/>
        <w:numPr>
          <w:ilvl w:val="0"/>
          <w:numId w:val="32"/>
        </w:numPr>
        <w:shd w:val="clear" w:color="auto" w:fill="FFFFFF"/>
        <w:spacing w:after="0" w:line="240" w:lineRule="auto"/>
        <w:ind w:left="360"/>
        <w:jc w:val="both"/>
        <w:rPr>
          <w:rFonts w:ascii="Times New Roman" w:eastAsia="Times New Roman" w:hAnsi="Times New Roman" w:cs="Times New Roman"/>
          <w:sz w:val="24"/>
          <w:szCs w:val="24"/>
        </w:rPr>
      </w:pPr>
      <w:r w:rsidRPr="000B2DF5">
        <w:rPr>
          <w:rFonts w:ascii="Times New Roman" w:eastAsia="Times New Roman" w:hAnsi="Times New Roman" w:cs="Times New Roman"/>
          <w:b/>
          <w:sz w:val="24"/>
          <w:szCs w:val="24"/>
        </w:rPr>
        <w:t>IRB Authorizat</w:t>
      </w:r>
      <w:r>
        <w:rPr>
          <w:rFonts w:ascii="Times New Roman" w:eastAsia="Times New Roman" w:hAnsi="Times New Roman" w:cs="Times New Roman"/>
          <w:b/>
          <w:sz w:val="24"/>
          <w:szCs w:val="24"/>
        </w:rPr>
        <w:t>i</w:t>
      </w:r>
      <w:r w:rsidRPr="000B2DF5">
        <w:rPr>
          <w:rFonts w:ascii="Times New Roman" w:eastAsia="Times New Roman" w:hAnsi="Times New Roman" w:cs="Times New Roman"/>
          <w:b/>
          <w:sz w:val="24"/>
          <w:szCs w:val="24"/>
        </w:rPr>
        <w:t xml:space="preserve">on Agreement: </w:t>
      </w:r>
      <w:r w:rsidR="001E28BE">
        <w:rPr>
          <w:rFonts w:ascii="Times New Roman" w:hAnsi="Times New Roman" w:cs="Times New Roman"/>
          <w:sz w:val="24"/>
          <w:szCs w:val="24"/>
        </w:rPr>
        <w:t>T</w:t>
      </w:r>
      <w:r w:rsidRPr="000B2DF5">
        <w:rPr>
          <w:rFonts w:ascii="Times New Roman" w:hAnsi="Times New Roman" w:cs="Times New Roman"/>
          <w:sz w:val="24"/>
          <w:szCs w:val="24"/>
        </w:rPr>
        <w:t>he agreement that documents respective authorities, roles, responsibilities, and communication between an institution/organization providing the ethical review and a participating site relying on the sIRB.</w:t>
      </w:r>
      <w:r w:rsidR="001E28BE">
        <w:rPr>
          <w:rFonts w:ascii="Times New Roman" w:hAnsi="Times New Roman" w:cs="Times New Roman"/>
          <w:sz w:val="24"/>
          <w:szCs w:val="24"/>
        </w:rPr>
        <w:t xml:space="preserve"> This is also called a Reliance Agreement. </w:t>
      </w:r>
    </w:p>
    <w:p w14:paraId="2BD3983C" w14:textId="16DE453E" w:rsidR="004368CB" w:rsidRPr="004368CB" w:rsidRDefault="004368CB" w:rsidP="001E28BE">
      <w:pPr>
        <w:pStyle w:val="ListParagraph"/>
        <w:numPr>
          <w:ilvl w:val="0"/>
          <w:numId w:val="32"/>
        </w:numPr>
        <w:shd w:val="clear" w:color="auto" w:fill="FFFFFF"/>
        <w:spacing w:after="0" w:line="240" w:lineRule="auto"/>
        <w:ind w:left="360"/>
        <w:jc w:val="both"/>
        <w:rPr>
          <w:rFonts w:ascii="Times New Roman" w:eastAsia="Times New Roman" w:hAnsi="Times New Roman" w:cs="Times New Roman"/>
          <w:sz w:val="24"/>
          <w:szCs w:val="24"/>
        </w:rPr>
      </w:pPr>
      <w:r w:rsidRPr="004F591C">
        <w:rPr>
          <w:rFonts w:ascii="Times New Roman" w:eastAsia="Times New Roman" w:hAnsi="Times New Roman" w:cs="Times New Roman"/>
          <w:b/>
          <w:sz w:val="24"/>
          <w:szCs w:val="24"/>
        </w:rPr>
        <w:t>Multi</w:t>
      </w:r>
      <w:r>
        <w:rPr>
          <w:rFonts w:ascii="Times New Roman" w:eastAsia="Times New Roman" w:hAnsi="Times New Roman" w:cs="Times New Roman"/>
          <w:b/>
          <w:sz w:val="24"/>
          <w:szCs w:val="24"/>
        </w:rPr>
        <w:t>site Study</w:t>
      </w:r>
      <w:r w:rsidRPr="004F591C">
        <w:rPr>
          <w:rFonts w:ascii="Times New Roman" w:eastAsia="Times New Roman" w:hAnsi="Times New Roman" w:cs="Times New Roman"/>
          <w:b/>
          <w:sz w:val="24"/>
          <w:szCs w:val="24"/>
        </w:rPr>
        <w:t xml:space="preserve">: </w:t>
      </w:r>
      <w:r w:rsidR="001E28BE">
        <w:rPr>
          <w:rFonts w:ascii="Times New Roman" w:hAnsi="Times New Roman" w:cs="Times New Roman"/>
          <w:sz w:val="24"/>
          <w:szCs w:val="24"/>
        </w:rPr>
        <w:t>A</w:t>
      </w:r>
      <w:r w:rsidRPr="00475B72">
        <w:rPr>
          <w:rFonts w:ascii="Times New Roman" w:hAnsi="Times New Roman" w:cs="Times New Roman"/>
          <w:sz w:val="24"/>
          <w:szCs w:val="24"/>
        </w:rPr>
        <w:t xml:space="preserve"> multi-site study uses the </w:t>
      </w:r>
      <w:r w:rsidRPr="001E28BE">
        <w:rPr>
          <w:rFonts w:ascii="Times New Roman" w:hAnsi="Times New Roman" w:cs="Times New Roman"/>
          <w:i/>
          <w:iCs/>
          <w:sz w:val="24"/>
          <w:szCs w:val="24"/>
        </w:rPr>
        <w:t>same protocol</w:t>
      </w:r>
      <w:r w:rsidRPr="00475B72">
        <w:rPr>
          <w:rFonts w:ascii="Times New Roman" w:hAnsi="Times New Roman" w:cs="Times New Roman"/>
          <w:sz w:val="24"/>
          <w:szCs w:val="24"/>
        </w:rPr>
        <w:t xml:space="preserve"> to conduct non-exempt human subjects research at more than one site.</w:t>
      </w:r>
    </w:p>
    <w:p w14:paraId="2567942B" w14:textId="77777777" w:rsidR="004368CB" w:rsidRPr="004F591C" w:rsidRDefault="004368CB" w:rsidP="001E28BE">
      <w:pPr>
        <w:pStyle w:val="ListParagraph"/>
        <w:numPr>
          <w:ilvl w:val="0"/>
          <w:numId w:val="32"/>
        </w:numPr>
        <w:shd w:val="clear" w:color="auto" w:fill="FFFFFF"/>
        <w:spacing w:after="0" w:line="240" w:lineRule="auto"/>
        <w:ind w:left="360"/>
        <w:jc w:val="both"/>
        <w:rPr>
          <w:rFonts w:ascii="Times New Roman" w:eastAsia="Times New Roman" w:hAnsi="Times New Roman" w:cs="Times New Roman"/>
          <w:sz w:val="24"/>
          <w:szCs w:val="24"/>
        </w:rPr>
      </w:pPr>
      <w:r w:rsidRPr="004F591C">
        <w:rPr>
          <w:rFonts w:ascii="Times New Roman" w:eastAsia="Times New Roman" w:hAnsi="Times New Roman" w:cs="Times New Roman"/>
          <w:b/>
          <w:sz w:val="24"/>
          <w:szCs w:val="24"/>
        </w:rPr>
        <w:t>Reliance/Cede Review</w:t>
      </w:r>
      <w:r w:rsidRPr="004F591C">
        <w:rPr>
          <w:rFonts w:ascii="Times New Roman" w:eastAsia="Times New Roman" w:hAnsi="Times New Roman" w:cs="Times New Roman"/>
          <w:sz w:val="24"/>
          <w:szCs w:val="24"/>
        </w:rPr>
        <w:t>: The act of transferring IRB review and oversight</w:t>
      </w:r>
    </w:p>
    <w:p w14:paraId="31737771" w14:textId="7CC0E204" w:rsidR="004368CB" w:rsidRPr="004368CB" w:rsidRDefault="004368CB" w:rsidP="001E28BE">
      <w:pPr>
        <w:pStyle w:val="ListParagraph"/>
        <w:numPr>
          <w:ilvl w:val="0"/>
          <w:numId w:val="32"/>
        </w:numPr>
        <w:shd w:val="clear" w:color="auto" w:fill="FFFFFF"/>
        <w:spacing w:after="0" w:line="240" w:lineRule="auto"/>
        <w:ind w:left="360"/>
        <w:jc w:val="both"/>
        <w:rPr>
          <w:rFonts w:ascii="Times New Roman" w:eastAsia="Times New Roman" w:hAnsi="Times New Roman" w:cs="Times New Roman"/>
          <w:sz w:val="24"/>
          <w:szCs w:val="24"/>
        </w:rPr>
      </w:pPr>
      <w:r w:rsidRPr="004F591C">
        <w:rPr>
          <w:rFonts w:ascii="Times New Roman" w:eastAsia="Times New Roman" w:hAnsi="Times New Roman" w:cs="Times New Roman"/>
          <w:b/>
          <w:bCs/>
          <w:sz w:val="24"/>
          <w:szCs w:val="24"/>
        </w:rPr>
        <w:t>Relying Institution: </w:t>
      </w:r>
      <w:r w:rsidRPr="004F591C">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institution</w:t>
      </w:r>
      <w:r w:rsidRPr="004F591C">
        <w:rPr>
          <w:rFonts w:ascii="Times New Roman" w:eastAsia="Times New Roman" w:hAnsi="Times New Roman" w:cs="Times New Roman"/>
          <w:sz w:val="24"/>
          <w:szCs w:val="24"/>
        </w:rPr>
        <w:t xml:space="preserve"> that </w:t>
      </w:r>
      <w:r>
        <w:rPr>
          <w:rFonts w:ascii="Times New Roman" w:eastAsia="Times New Roman" w:hAnsi="Times New Roman" w:cs="Times New Roman"/>
          <w:sz w:val="24"/>
          <w:szCs w:val="24"/>
        </w:rPr>
        <w:t xml:space="preserve">relies on </w:t>
      </w:r>
      <w:r w:rsidRPr="004F591C">
        <w:rPr>
          <w:rFonts w:ascii="Times New Roman" w:eastAsia="Times New Roman" w:hAnsi="Times New Roman" w:cs="Times New Roman"/>
          <w:sz w:val="24"/>
          <w:szCs w:val="24"/>
        </w:rPr>
        <w:t xml:space="preserve">an </w:t>
      </w:r>
      <w:r>
        <w:rPr>
          <w:rFonts w:ascii="Times New Roman" w:eastAsia="Times New Roman" w:hAnsi="Times New Roman" w:cs="Times New Roman"/>
          <w:sz w:val="24"/>
          <w:szCs w:val="24"/>
        </w:rPr>
        <w:t xml:space="preserve">external </w:t>
      </w:r>
      <w:r w:rsidRPr="004F591C">
        <w:rPr>
          <w:rFonts w:ascii="Times New Roman" w:eastAsia="Times New Roman" w:hAnsi="Times New Roman" w:cs="Times New Roman"/>
          <w:sz w:val="24"/>
          <w:szCs w:val="24"/>
        </w:rPr>
        <w:t>IRB</w:t>
      </w:r>
      <w:r>
        <w:rPr>
          <w:rFonts w:ascii="Times New Roman" w:eastAsia="Times New Roman" w:hAnsi="Times New Roman" w:cs="Times New Roman"/>
          <w:sz w:val="24"/>
          <w:szCs w:val="24"/>
        </w:rPr>
        <w:t xml:space="preserve"> to review and approve the research</w:t>
      </w:r>
      <w:r w:rsidRPr="004F591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relying institution is also known as a ‘participating site’. </w:t>
      </w:r>
    </w:p>
    <w:p w14:paraId="6CFA1AB6" w14:textId="661256F3" w:rsidR="008A4D84" w:rsidRPr="004F591C" w:rsidRDefault="008A4D84" w:rsidP="001E28BE">
      <w:pPr>
        <w:pStyle w:val="ListParagraph"/>
        <w:numPr>
          <w:ilvl w:val="0"/>
          <w:numId w:val="32"/>
        </w:numPr>
        <w:shd w:val="clear" w:color="auto" w:fill="FFFFFF"/>
        <w:spacing w:after="0" w:line="240" w:lineRule="auto"/>
        <w:ind w:left="360"/>
        <w:jc w:val="both"/>
        <w:rPr>
          <w:rFonts w:ascii="Times New Roman" w:eastAsia="Times New Roman" w:hAnsi="Times New Roman" w:cs="Times New Roman"/>
          <w:sz w:val="24"/>
          <w:szCs w:val="24"/>
        </w:rPr>
      </w:pPr>
      <w:r w:rsidRPr="004F591C">
        <w:rPr>
          <w:rFonts w:ascii="Times New Roman" w:eastAsia="Times New Roman" w:hAnsi="Times New Roman" w:cs="Times New Roman"/>
          <w:b/>
          <w:bCs/>
          <w:sz w:val="24"/>
          <w:szCs w:val="24"/>
        </w:rPr>
        <w:t>Reviewing IRB: </w:t>
      </w:r>
      <w:r w:rsidRPr="004F591C">
        <w:rPr>
          <w:rFonts w:ascii="Times New Roman" w:eastAsia="Times New Roman" w:hAnsi="Times New Roman" w:cs="Times New Roman"/>
          <w:sz w:val="24"/>
          <w:szCs w:val="24"/>
        </w:rPr>
        <w:t>The IRB that conduct</w:t>
      </w:r>
      <w:r w:rsidR="002D5932">
        <w:rPr>
          <w:rFonts w:ascii="Times New Roman" w:eastAsia="Times New Roman" w:hAnsi="Times New Roman" w:cs="Times New Roman"/>
          <w:sz w:val="24"/>
          <w:szCs w:val="24"/>
        </w:rPr>
        <w:t>s</w:t>
      </w:r>
      <w:r w:rsidRPr="004F591C">
        <w:rPr>
          <w:rFonts w:ascii="Times New Roman" w:eastAsia="Times New Roman" w:hAnsi="Times New Roman" w:cs="Times New Roman"/>
          <w:sz w:val="24"/>
          <w:szCs w:val="24"/>
        </w:rPr>
        <w:t xml:space="preserve"> the IRB review</w:t>
      </w:r>
      <w:r w:rsidR="002D5932">
        <w:rPr>
          <w:rFonts w:ascii="Times New Roman" w:eastAsia="Times New Roman" w:hAnsi="Times New Roman" w:cs="Times New Roman"/>
          <w:sz w:val="24"/>
          <w:szCs w:val="24"/>
        </w:rPr>
        <w:t>.</w:t>
      </w:r>
    </w:p>
    <w:p w14:paraId="1DB9969E" w14:textId="79EA1CBE" w:rsidR="0021783C" w:rsidRPr="00475B72" w:rsidRDefault="00475B72" w:rsidP="001E28BE">
      <w:pPr>
        <w:pStyle w:val="ListParagraph"/>
        <w:numPr>
          <w:ilvl w:val="0"/>
          <w:numId w:val="32"/>
        </w:numPr>
        <w:shd w:val="clear" w:color="auto" w:fill="FFFFFF"/>
        <w:spacing w:after="0" w:line="240" w:lineRule="auto"/>
        <w:ind w:left="360"/>
        <w:jc w:val="both"/>
        <w:rPr>
          <w:rFonts w:ascii="Times New Roman" w:eastAsia="Times New Roman" w:hAnsi="Times New Roman" w:cs="Times New Roman"/>
          <w:b/>
          <w:bCs/>
          <w:sz w:val="24"/>
          <w:szCs w:val="24"/>
        </w:rPr>
      </w:pPr>
      <w:r w:rsidRPr="00475B72">
        <w:rPr>
          <w:rFonts w:ascii="Times New Roman" w:hAnsi="Times New Roman" w:cs="Times New Roman"/>
          <w:b/>
          <w:bCs/>
          <w:sz w:val="24"/>
          <w:szCs w:val="24"/>
        </w:rPr>
        <w:t>Single IRB (sIRB</w:t>
      </w:r>
      <w:r w:rsidRPr="00475B72">
        <w:rPr>
          <w:rFonts w:ascii="Times New Roman" w:hAnsi="Times New Roman" w:cs="Times New Roman"/>
          <w:sz w:val="24"/>
          <w:szCs w:val="24"/>
        </w:rPr>
        <w:t xml:space="preserve">): </w:t>
      </w:r>
      <w:r w:rsidR="001E28BE">
        <w:rPr>
          <w:rFonts w:ascii="Times New Roman" w:hAnsi="Times New Roman" w:cs="Times New Roman"/>
          <w:sz w:val="24"/>
          <w:szCs w:val="24"/>
        </w:rPr>
        <w:t>T</w:t>
      </w:r>
      <w:r w:rsidRPr="00475B72">
        <w:rPr>
          <w:rFonts w:ascii="Times New Roman" w:hAnsi="Times New Roman" w:cs="Times New Roman"/>
          <w:sz w:val="24"/>
          <w:szCs w:val="24"/>
        </w:rPr>
        <w:t xml:space="preserve">he IRB of record that has been selected to carry out the IRB review requirements for </w:t>
      </w:r>
      <w:r w:rsidR="00292CB0">
        <w:rPr>
          <w:rFonts w:ascii="Times New Roman" w:hAnsi="Times New Roman" w:cs="Times New Roman"/>
          <w:sz w:val="24"/>
          <w:szCs w:val="24"/>
        </w:rPr>
        <w:t>a</w:t>
      </w:r>
      <w:r w:rsidRPr="00475B72">
        <w:rPr>
          <w:rFonts w:ascii="Times New Roman" w:hAnsi="Times New Roman" w:cs="Times New Roman"/>
          <w:sz w:val="24"/>
          <w:szCs w:val="24"/>
        </w:rPr>
        <w:t xml:space="preserve"> multi-site </w:t>
      </w:r>
      <w:r w:rsidR="00292CB0">
        <w:rPr>
          <w:rFonts w:ascii="Times New Roman" w:hAnsi="Times New Roman" w:cs="Times New Roman"/>
          <w:sz w:val="24"/>
          <w:szCs w:val="24"/>
        </w:rPr>
        <w:t xml:space="preserve">or cooperative research </w:t>
      </w:r>
      <w:r w:rsidRPr="00475B72">
        <w:rPr>
          <w:rFonts w:ascii="Times New Roman" w:hAnsi="Times New Roman" w:cs="Times New Roman"/>
          <w:sz w:val="24"/>
          <w:szCs w:val="24"/>
        </w:rPr>
        <w:t>study.</w:t>
      </w:r>
      <w:r w:rsidR="00BC4E14">
        <w:rPr>
          <w:rFonts w:ascii="Times New Roman" w:hAnsi="Times New Roman" w:cs="Times New Roman"/>
          <w:sz w:val="24"/>
          <w:szCs w:val="24"/>
        </w:rPr>
        <w:t xml:space="preserve"> The IRB may also act as the Privacy Board for research involving HIPAA. </w:t>
      </w:r>
    </w:p>
    <w:p w14:paraId="15ADC389" w14:textId="77777777" w:rsidR="00475B72" w:rsidRDefault="00475B72" w:rsidP="004F591C">
      <w:pPr>
        <w:shd w:val="clear" w:color="auto" w:fill="FFFFFF"/>
        <w:spacing w:after="0" w:line="240" w:lineRule="auto"/>
        <w:jc w:val="both"/>
        <w:rPr>
          <w:rFonts w:ascii="Times New Roman" w:eastAsia="Times New Roman" w:hAnsi="Times New Roman" w:cs="Times New Roman"/>
          <w:b/>
          <w:bCs/>
          <w:sz w:val="24"/>
          <w:szCs w:val="24"/>
        </w:rPr>
      </w:pPr>
    </w:p>
    <w:p w14:paraId="73D3F3ED" w14:textId="4B22EB68" w:rsidR="00541302" w:rsidRPr="004F591C" w:rsidRDefault="00541302" w:rsidP="004F591C">
      <w:pPr>
        <w:shd w:val="clear" w:color="auto" w:fill="FFFFFF"/>
        <w:spacing w:after="0" w:line="240" w:lineRule="auto"/>
        <w:jc w:val="both"/>
        <w:rPr>
          <w:rFonts w:ascii="Times New Roman" w:eastAsia="Times New Roman" w:hAnsi="Times New Roman" w:cs="Times New Roman"/>
          <w:b/>
          <w:bCs/>
          <w:sz w:val="24"/>
          <w:szCs w:val="24"/>
        </w:rPr>
      </w:pPr>
      <w:r w:rsidRPr="004F591C">
        <w:rPr>
          <w:rFonts w:ascii="Times New Roman" w:eastAsia="Times New Roman" w:hAnsi="Times New Roman" w:cs="Times New Roman"/>
          <w:b/>
          <w:bCs/>
          <w:sz w:val="24"/>
          <w:szCs w:val="24"/>
        </w:rPr>
        <w:t>Policy:</w:t>
      </w:r>
    </w:p>
    <w:p w14:paraId="2541C4B5" w14:textId="77777777" w:rsidR="00541302" w:rsidRPr="004F591C" w:rsidRDefault="00541302" w:rsidP="004F591C">
      <w:pPr>
        <w:shd w:val="clear" w:color="auto" w:fill="FFFFFF"/>
        <w:spacing w:after="0" w:line="240" w:lineRule="auto"/>
        <w:jc w:val="both"/>
        <w:rPr>
          <w:rFonts w:ascii="Times New Roman" w:eastAsia="Times New Roman" w:hAnsi="Times New Roman" w:cs="Times New Roman"/>
          <w:bCs/>
          <w:sz w:val="24"/>
          <w:szCs w:val="24"/>
        </w:rPr>
      </w:pPr>
    </w:p>
    <w:p w14:paraId="67242619" w14:textId="7A549279" w:rsidR="00C314AD" w:rsidRPr="004F591C" w:rsidRDefault="00C314AD" w:rsidP="00566C63">
      <w:pPr>
        <w:pStyle w:val="Default"/>
        <w:jc w:val="both"/>
        <w:rPr>
          <w:color w:val="auto"/>
        </w:rPr>
      </w:pPr>
      <w:r w:rsidRPr="004F591C">
        <w:t xml:space="preserve">To avoid duplication of effort, and to </w:t>
      </w:r>
      <w:r w:rsidRPr="004F591C">
        <w:rPr>
          <w:color w:val="auto"/>
        </w:rPr>
        <w:t>comply with Federal policies for single IRB review of multi-site</w:t>
      </w:r>
      <w:r w:rsidR="00F3500C">
        <w:rPr>
          <w:color w:val="auto"/>
        </w:rPr>
        <w:t xml:space="preserve"> and cooperative</w:t>
      </w:r>
      <w:r w:rsidR="00653637" w:rsidRPr="004F591C">
        <w:rPr>
          <w:color w:val="auto"/>
        </w:rPr>
        <w:t xml:space="preserve"> </w:t>
      </w:r>
      <w:r w:rsidRPr="004F591C">
        <w:rPr>
          <w:color w:val="auto"/>
        </w:rPr>
        <w:t xml:space="preserve">research, the CRC IRB will either accept review responsibilities on behalf of another institution or rely on the review of an external IRB; this process is called an IRB reliance, or ceded IRB review. </w:t>
      </w:r>
    </w:p>
    <w:p w14:paraId="70D67ED2" w14:textId="2B3FD9E6" w:rsidR="00C314AD" w:rsidRDefault="00C314AD" w:rsidP="00566C63">
      <w:pPr>
        <w:pStyle w:val="Default"/>
        <w:jc w:val="both"/>
      </w:pPr>
    </w:p>
    <w:p w14:paraId="4B970C78" w14:textId="410F56BD" w:rsidR="00850581" w:rsidRDefault="00850581" w:rsidP="00566C63">
      <w:pPr>
        <w:pStyle w:val="Default"/>
        <w:jc w:val="both"/>
        <w:rPr>
          <w:b/>
          <w:bCs/>
        </w:rPr>
      </w:pPr>
      <w:r w:rsidRPr="00850581">
        <w:rPr>
          <w:b/>
          <w:bCs/>
        </w:rPr>
        <w:t>NIH Requirements:</w:t>
      </w:r>
    </w:p>
    <w:p w14:paraId="67EE6E6E" w14:textId="77777777" w:rsidR="00850581" w:rsidRPr="00850581" w:rsidRDefault="00850581" w:rsidP="00566C63">
      <w:pPr>
        <w:pStyle w:val="Default"/>
        <w:jc w:val="both"/>
        <w:rPr>
          <w:b/>
          <w:bCs/>
        </w:rPr>
      </w:pPr>
    </w:p>
    <w:p w14:paraId="6FCC3426" w14:textId="46484098" w:rsidR="00C314AD" w:rsidRPr="004F591C" w:rsidRDefault="00C314AD" w:rsidP="00850581">
      <w:pPr>
        <w:pStyle w:val="Default"/>
        <w:numPr>
          <w:ilvl w:val="0"/>
          <w:numId w:val="26"/>
        </w:numPr>
        <w:jc w:val="both"/>
      </w:pPr>
      <w:r w:rsidRPr="004F591C">
        <w:t xml:space="preserve">Single IRB Review of multisite research </w:t>
      </w:r>
      <w:r w:rsidRPr="00F3500C">
        <w:rPr>
          <w:b/>
          <w:bCs/>
        </w:rPr>
        <w:t>applies to</w:t>
      </w:r>
      <w:r w:rsidRPr="00F3500C">
        <w:t xml:space="preserve"> </w:t>
      </w:r>
      <w:r w:rsidRPr="004F591C">
        <w:t xml:space="preserve">all studies that are: </w:t>
      </w:r>
    </w:p>
    <w:p w14:paraId="07F98B5F" w14:textId="77777777" w:rsidR="00C314AD" w:rsidRPr="004F591C" w:rsidRDefault="00C314AD" w:rsidP="00850581">
      <w:pPr>
        <w:pStyle w:val="Default"/>
        <w:numPr>
          <w:ilvl w:val="1"/>
          <w:numId w:val="26"/>
        </w:numPr>
        <w:ind w:left="720"/>
        <w:jc w:val="both"/>
      </w:pPr>
      <w:r w:rsidRPr="004F591C">
        <w:t xml:space="preserve">Funded through grants, cooperative agreements, contracts, or the NIH Intramural Research Program, and </w:t>
      </w:r>
    </w:p>
    <w:p w14:paraId="0B646ED7" w14:textId="77777777" w:rsidR="00C314AD" w:rsidRPr="004F591C" w:rsidRDefault="00C314AD" w:rsidP="00850581">
      <w:pPr>
        <w:pStyle w:val="Default"/>
        <w:numPr>
          <w:ilvl w:val="1"/>
          <w:numId w:val="26"/>
        </w:numPr>
        <w:ind w:left="720"/>
        <w:jc w:val="both"/>
      </w:pPr>
      <w:r w:rsidRPr="004F591C">
        <w:t xml:space="preserve">Involve non-exempt human subjects research, and </w:t>
      </w:r>
    </w:p>
    <w:p w14:paraId="61A3D822" w14:textId="67D98003" w:rsidR="00850581" w:rsidRDefault="00C314AD" w:rsidP="00566C63">
      <w:pPr>
        <w:pStyle w:val="Default"/>
        <w:numPr>
          <w:ilvl w:val="1"/>
          <w:numId w:val="26"/>
        </w:numPr>
        <w:ind w:left="720"/>
        <w:jc w:val="both"/>
      </w:pPr>
      <w:r w:rsidRPr="004F591C">
        <w:t xml:space="preserve">Involve multiple sites, all of which are conducting the same protocol. </w:t>
      </w:r>
    </w:p>
    <w:p w14:paraId="1E10E9EE" w14:textId="77777777" w:rsidR="00850581" w:rsidRDefault="00850581" w:rsidP="00850581">
      <w:pPr>
        <w:pStyle w:val="Default"/>
        <w:ind w:left="720"/>
        <w:jc w:val="both"/>
      </w:pPr>
    </w:p>
    <w:p w14:paraId="55C76E23" w14:textId="0722EB26" w:rsidR="00C314AD" w:rsidRPr="004F591C" w:rsidRDefault="00C314AD" w:rsidP="00850581">
      <w:pPr>
        <w:pStyle w:val="Default"/>
        <w:numPr>
          <w:ilvl w:val="0"/>
          <w:numId w:val="26"/>
        </w:numPr>
        <w:jc w:val="both"/>
      </w:pPr>
      <w:r w:rsidRPr="004F591C">
        <w:t xml:space="preserve">Single IRB Review of multisite research </w:t>
      </w:r>
      <w:r w:rsidRPr="00F3500C">
        <w:rPr>
          <w:b/>
          <w:bCs/>
        </w:rPr>
        <w:t>does not apply to</w:t>
      </w:r>
      <w:r w:rsidRPr="004F591C">
        <w:t xml:space="preserve"> studies that are: </w:t>
      </w:r>
    </w:p>
    <w:p w14:paraId="5ED90782" w14:textId="77777777" w:rsidR="00C314AD" w:rsidRPr="004F591C" w:rsidRDefault="00C314AD" w:rsidP="00850581">
      <w:pPr>
        <w:pStyle w:val="Default"/>
        <w:numPr>
          <w:ilvl w:val="0"/>
          <w:numId w:val="27"/>
        </w:numPr>
        <w:ind w:left="720"/>
        <w:jc w:val="both"/>
      </w:pPr>
      <w:r w:rsidRPr="004F591C">
        <w:t xml:space="preserve">Funded to foreign awardees and/or conducted at foreign sites, or </w:t>
      </w:r>
    </w:p>
    <w:p w14:paraId="4701FB6A" w14:textId="77777777" w:rsidR="00C314AD" w:rsidRPr="004F591C" w:rsidRDefault="00C314AD" w:rsidP="00850581">
      <w:pPr>
        <w:pStyle w:val="Default"/>
        <w:numPr>
          <w:ilvl w:val="0"/>
          <w:numId w:val="27"/>
        </w:numPr>
        <w:ind w:left="720"/>
        <w:jc w:val="both"/>
      </w:pPr>
      <w:r w:rsidRPr="004F591C">
        <w:t xml:space="preserve">Funded through career development, research training or fellowship awards, or </w:t>
      </w:r>
    </w:p>
    <w:p w14:paraId="3216EEA5" w14:textId="77777777" w:rsidR="00C314AD" w:rsidRPr="004F591C" w:rsidRDefault="00C314AD" w:rsidP="00850581">
      <w:pPr>
        <w:pStyle w:val="Default"/>
        <w:numPr>
          <w:ilvl w:val="0"/>
          <w:numId w:val="27"/>
        </w:numPr>
        <w:ind w:left="720"/>
        <w:jc w:val="both"/>
      </w:pPr>
      <w:r w:rsidRPr="004F591C">
        <w:t xml:space="preserve">Where review by the proposed sIRB would be prohibited by a federal, tribal, or state law, regulation, or policy, or </w:t>
      </w:r>
    </w:p>
    <w:p w14:paraId="34CE0151" w14:textId="77777777" w:rsidR="00C314AD" w:rsidRPr="004F591C" w:rsidRDefault="00C314AD" w:rsidP="00850581">
      <w:pPr>
        <w:pStyle w:val="Default"/>
        <w:numPr>
          <w:ilvl w:val="0"/>
          <w:numId w:val="27"/>
        </w:numPr>
        <w:ind w:left="720"/>
        <w:jc w:val="both"/>
      </w:pPr>
      <w:r w:rsidRPr="004F591C">
        <w:t xml:space="preserve">Collaborative projects in which multiple sites are involved but different sites may complete different parts of the study. </w:t>
      </w:r>
    </w:p>
    <w:p w14:paraId="5E153DF1" w14:textId="77777777" w:rsidR="00C314AD" w:rsidRPr="004F591C" w:rsidRDefault="00C314AD" w:rsidP="004F591C">
      <w:pPr>
        <w:pStyle w:val="Default"/>
        <w:jc w:val="both"/>
      </w:pPr>
    </w:p>
    <w:p w14:paraId="33C39A22" w14:textId="77777777" w:rsidR="00850581" w:rsidRPr="001E28BE" w:rsidRDefault="00C314AD" w:rsidP="004F591C">
      <w:pPr>
        <w:pStyle w:val="Default"/>
        <w:jc w:val="both"/>
        <w:rPr>
          <w:b/>
          <w:bCs/>
        </w:rPr>
      </w:pPr>
      <w:r w:rsidRPr="001E28BE">
        <w:rPr>
          <w:b/>
          <w:bCs/>
        </w:rPr>
        <w:t xml:space="preserve">OHRP </w:t>
      </w:r>
      <w:r w:rsidR="00850581" w:rsidRPr="001E28BE">
        <w:rPr>
          <w:b/>
          <w:bCs/>
        </w:rPr>
        <w:t>R</w:t>
      </w:r>
      <w:r w:rsidRPr="001E28BE">
        <w:rPr>
          <w:b/>
          <w:bCs/>
        </w:rPr>
        <w:t>equirements</w:t>
      </w:r>
      <w:r w:rsidR="00850581" w:rsidRPr="001E28BE">
        <w:rPr>
          <w:b/>
          <w:bCs/>
        </w:rPr>
        <w:t>:</w:t>
      </w:r>
    </w:p>
    <w:p w14:paraId="0E40D82C" w14:textId="77777777" w:rsidR="00850581" w:rsidRDefault="00850581" w:rsidP="004F591C">
      <w:pPr>
        <w:pStyle w:val="Default"/>
        <w:jc w:val="both"/>
      </w:pPr>
    </w:p>
    <w:p w14:paraId="6FF62542" w14:textId="1D55BEBC" w:rsidR="00CB6C03" w:rsidRPr="004F591C" w:rsidRDefault="00C314AD" w:rsidP="00850581">
      <w:pPr>
        <w:pStyle w:val="Default"/>
        <w:numPr>
          <w:ilvl w:val="0"/>
          <w:numId w:val="29"/>
        </w:numPr>
        <w:ind w:left="360"/>
        <w:jc w:val="both"/>
      </w:pPr>
      <w:r w:rsidRPr="004F591C">
        <w:t>Single IRB Review</w:t>
      </w:r>
      <w:r w:rsidR="009F5005" w:rsidRPr="004F591C">
        <w:t xml:space="preserve"> </w:t>
      </w:r>
      <w:r w:rsidR="00A20FA3" w:rsidRPr="004F591C">
        <w:t xml:space="preserve">under 45 CFR 46.114(b) </w:t>
      </w:r>
      <w:r w:rsidR="009F5005" w:rsidRPr="00F3500C">
        <w:rPr>
          <w:b/>
          <w:bCs/>
        </w:rPr>
        <w:t xml:space="preserve">applies </w:t>
      </w:r>
      <w:r w:rsidR="00CB6C03" w:rsidRPr="00F3500C">
        <w:rPr>
          <w:b/>
          <w:bCs/>
        </w:rPr>
        <w:t>to</w:t>
      </w:r>
      <w:r w:rsidR="00CB6C03" w:rsidRPr="004F591C">
        <w:t>:</w:t>
      </w:r>
    </w:p>
    <w:p w14:paraId="51004598" w14:textId="77777777" w:rsidR="00CB6C03" w:rsidRPr="004F591C" w:rsidRDefault="00CB6C03" w:rsidP="00850581">
      <w:pPr>
        <w:pStyle w:val="Default"/>
        <w:numPr>
          <w:ilvl w:val="1"/>
          <w:numId w:val="29"/>
        </w:numPr>
        <w:ind w:left="720"/>
        <w:jc w:val="both"/>
        <w:rPr>
          <w:rFonts w:eastAsia="Times New Roman"/>
        </w:rPr>
      </w:pPr>
      <w:r w:rsidRPr="004F591C">
        <w:t>A</w:t>
      </w:r>
      <w:r w:rsidR="009F5005" w:rsidRPr="004F591C">
        <w:t xml:space="preserve">ll </w:t>
      </w:r>
      <w:r w:rsidR="00DC7CC9" w:rsidRPr="004F591C">
        <w:rPr>
          <w:rFonts w:eastAsia="Times New Roman"/>
        </w:rPr>
        <w:t>U.S. institutions engaged in cooperative research</w:t>
      </w:r>
      <w:r w:rsidR="002870C9" w:rsidRPr="004F591C">
        <w:rPr>
          <w:rFonts w:eastAsia="Times New Roman"/>
        </w:rPr>
        <w:t>, and</w:t>
      </w:r>
    </w:p>
    <w:p w14:paraId="127AB25C" w14:textId="77777777" w:rsidR="00CB6C03" w:rsidRPr="004F591C" w:rsidRDefault="00CB6C03" w:rsidP="00850581">
      <w:pPr>
        <w:pStyle w:val="Default"/>
        <w:numPr>
          <w:ilvl w:val="1"/>
          <w:numId w:val="29"/>
        </w:numPr>
        <w:ind w:left="720"/>
        <w:jc w:val="both"/>
        <w:rPr>
          <w:rFonts w:eastAsia="Times New Roman"/>
        </w:rPr>
      </w:pPr>
      <w:r w:rsidRPr="004F591C">
        <w:rPr>
          <w:rFonts w:eastAsia="Times New Roman"/>
        </w:rPr>
        <w:t>T</w:t>
      </w:r>
      <w:r w:rsidR="00DC7CC9" w:rsidRPr="004F591C">
        <w:rPr>
          <w:rFonts w:eastAsia="Times New Roman"/>
        </w:rPr>
        <w:t>he portion of the research conducted at domestic sites</w:t>
      </w:r>
      <w:r w:rsidR="002870C9" w:rsidRPr="004F591C">
        <w:rPr>
          <w:rFonts w:eastAsia="Times New Roman"/>
        </w:rPr>
        <w:t xml:space="preserve">, and </w:t>
      </w:r>
      <w:r w:rsidRPr="004F591C">
        <w:rPr>
          <w:rFonts w:eastAsia="Times New Roman"/>
        </w:rPr>
        <w:t xml:space="preserve"> </w:t>
      </w:r>
    </w:p>
    <w:p w14:paraId="08193A9C" w14:textId="77777777" w:rsidR="00CC0023" w:rsidRPr="004F591C" w:rsidRDefault="00CB6C03" w:rsidP="00850581">
      <w:pPr>
        <w:pStyle w:val="Default"/>
        <w:numPr>
          <w:ilvl w:val="1"/>
          <w:numId w:val="29"/>
        </w:numPr>
        <w:ind w:left="720"/>
        <w:jc w:val="both"/>
      </w:pPr>
      <w:r w:rsidRPr="004F591C">
        <w:rPr>
          <w:rFonts w:eastAsia="Times New Roman"/>
        </w:rPr>
        <w:t>I</w:t>
      </w:r>
      <w:r w:rsidR="00DC7CC9" w:rsidRPr="004F591C">
        <w:rPr>
          <w:rFonts w:eastAsia="Times New Roman"/>
        </w:rPr>
        <w:t>nitially approved by an IRB on or after January 21, 2019 </w:t>
      </w:r>
    </w:p>
    <w:p w14:paraId="2A34B0AA" w14:textId="77777777" w:rsidR="00653637" w:rsidRPr="004F591C" w:rsidRDefault="00653637" w:rsidP="004F591C">
      <w:pPr>
        <w:pStyle w:val="NoSpacing"/>
        <w:jc w:val="both"/>
        <w:rPr>
          <w:rFonts w:ascii="Times New Roman" w:hAnsi="Times New Roman" w:cs="Times New Roman"/>
          <w:sz w:val="24"/>
          <w:szCs w:val="24"/>
        </w:rPr>
      </w:pPr>
    </w:p>
    <w:p w14:paraId="4AEA1537" w14:textId="5170D0D3" w:rsidR="00CC0023" w:rsidRPr="004F591C" w:rsidRDefault="00CC0023" w:rsidP="00850581">
      <w:pPr>
        <w:pStyle w:val="NoSpacing"/>
        <w:numPr>
          <w:ilvl w:val="0"/>
          <w:numId w:val="29"/>
        </w:numPr>
        <w:ind w:left="360"/>
        <w:jc w:val="both"/>
        <w:rPr>
          <w:rFonts w:ascii="Times New Roman" w:hAnsi="Times New Roman" w:cs="Times New Roman"/>
          <w:sz w:val="24"/>
          <w:szCs w:val="24"/>
        </w:rPr>
      </w:pPr>
      <w:r w:rsidRPr="004F591C">
        <w:rPr>
          <w:rFonts w:ascii="Times New Roman" w:hAnsi="Times New Roman" w:cs="Times New Roman"/>
          <w:sz w:val="24"/>
          <w:szCs w:val="24"/>
        </w:rPr>
        <w:t xml:space="preserve">Single IRB Review of cooperative research does </w:t>
      </w:r>
      <w:r w:rsidRPr="00F3500C">
        <w:rPr>
          <w:rFonts w:ascii="Times New Roman" w:hAnsi="Times New Roman" w:cs="Times New Roman"/>
          <w:b/>
          <w:bCs/>
          <w:sz w:val="24"/>
          <w:szCs w:val="24"/>
        </w:rPr>
        <w:t>not apply to</w:t>
      </w:r>
      <w:r w:rsidRPr="004F591C">
        <w:rPr>
          <w:rFonts w:ascii="Times New Roman" w:hAnsi="Times New Roman" w:cs="Times New Roman"/>
          <w:sz w:val="24"/>
          <w:szCs w:val="24"/>
        </w:rPr>
        <w:t>:</w:t>
      </w:r>
    </w:p>
    <w:p w14:paraId="113CAEB5" w14:textId="77777777" w:rsidR="00CC0023" w:rsidRPr="004F591C" w:rsidRDefault="00CC0023" w:rsidP="00850581">
      <w:pPr>
        <w:pStyle w:val="NoSpacing"/>
        <w:numPr>
          <w:ilvl w:val="0"/>
          <w:numId w:val="30"/>
        </w:numPr>
        <w:ind w:left="720"/>
        <w:jc w:val="both"/>
        <w:rPr>
          <w:rFonts w:ascii="Times New Roman" w:eastAsia="Times New Roman" w:hAnsi="Times New Roman" w:cs="Times New Roman"/>
          <w:color w:val="000000"/>
          <w:sz w:val="24"/>
          <w:szCs w:val="24"/>
        </w:rPr>
      </w:pPr>
      <w:r w:rsidRPr="004F591C">
        <w:rPr>
          <w:rFonts w:ascii="Times New Roman" w:eastAsia="Times New Roman" w:hAnsi="Times New Roman" w:cs="Times New Roman"/>
          <w:color w:val="000000"/>
          <w:sz w:val="24"/>
          <w:szCs w:val="24"/>
        </w:rPr>
        <w:t>Cooperative research conducted or supported by HHS agencies other than the National Institutes of Health (NIH), if an IRB initially approved the research before January 20, 2020.</w:t>
      </w:r>
    </w:p>
    <w:p w14:paraId="6007136B" w14:textId="77777777" w:rsidR="00CC0023" w:rsidRPr="004F591C" w:rsidRDefault="00CC0023" w:rsidP="00850581">
      <w:pPr>
        <w:pStyle w:val="NoSpacing"/>
        <w:numPr>
          <w:ilvl w:val="0"/>
          <w:numId w:val="30"/>
        </w:numPr>
        <w:ind w:left="720"/>
        <w:jc w:val="both"/>
        <w:rPr>
          <w:rFonts w:ascii="Times New Roman" w:eastAsia="Times New Roman" w:hAnsi="Times New Roman" w:cs="Times New Roman"/>
          <w:color w:val="000000"/>
          <w:sz w:val="24"/>
          <w:szCs w:val="24"/>
        </w:rPr>
      </w:pPr>
      <w:r w:rsidRPr="004F591C">
        <w:rPr>
          <w:rFonts w:ascii="Times New Roman" w:eastAsia="Times New Roman" w:hAnsi="Times New Roman" w:cs="Times New Roman"/>
          <w:color w:val="000000"/>
          <w:sz w:val="24"/>
          <w:szCs w:val="24"/>
        </w:rPr>
        <w:t>Cooperative research conducted or supported by NIH if either:</w:t>
      </w:r>
    </w:p>
    <w:p w14:paraId="0A80DC85" w14:textId="77777777" w:rsidR="00CC0023" w:rsidRPr="004F591C" w:rsidRDefault="00CC0023" w:rsidP="00850581">
      <w:pPr>
        <w:pStyle w:val="NoSpacing"/>
        <w:numPr>
          <w:ilvl w:val="1"/>
          <w:numId w:val="31"/>
        </w:numPr>
        <w:ind w:left="1080"/>
        <w:jc w:val="both"/>
        <w:rPr>
          <w:rFonts w:ascii="Times New Roman" w:eastAsia="Times New Roman" w:hAnsi="Times New Roman" w:cs="Times New Roman"/>
          <w:color w:val="000000"/>
          <w:sz w:val="24"/>
          <w:szCs w:val="24"/>
        </w:rPr>
      </w:pPr>
      <w:r w:rsidRPr="004F591C">
        <w:rPr>
          <w:rFonts w:ascii="Times New Roman" w:eastAsia="Times New Roman" w:hAnsi="Times New Roman" w:cs="Times New Roman"/>
          <w:color w:val="000000"/>
          <w:sz w:val="24"/>
          <w:szCs w:val="24"/>
        </w:rPr>
        <w:t>the NIH single IRB policy does not apply, and the research was initially approved by an IRB before January 20, 2020, or</w:t>
      </w:r>
    </w:p>
    <w:p w14:paraId="0C989C55" w14:textId="77777777" w:rsidR="00CC0023" w:rsidRPr="004F591C" w:rsidRDefault="00CC0023" w:rsidP="00850581">
      <w:pPr>
        <w:pStyle w:val="NoSpacing"/>
        <w:numPr>
          <w:ilvl w:val="1"/>
          <w:numId w:val="31"/>
        </w:numPr>
        <w:ind w:left="1080"/>
        <w:jc w:val="both"/>
        <w:rPr>
          <w:rFonts w:ascii="Times New Roman" w:eastAsia="Times New Roman" w:hAnsi="Times New Roman" w:cs="Times New Roman"/>
          <w:color w:val="000000"/>
          <w:sz w:val="24"/>
          <w:szCs w:val="24"/>
        </w:rPr>
      </w:pPr>
      <w:r w:rsidRPr="004F591C">
        <w:rPr>
          <w:rFonts w:ascii="Times New Roman" w:eastAsia="Times New Roman" w:hAnsi="Times New Roman" w:cs="Times New Roman"/>
          <w:color w:val="000000"/>
          <w:sz w:val="24"/>
          <w:szCs w:val="24"/>
        </w:rPr>
        <w:t>NIH excepted the research from its single IRB policy before January 20, 2020.</w:t>
      </w:r>
    </w:p>
    <w:p w14:paraId="55B21D54" w14:textId="77777777" w:rsidR="00A20FA3" w:rsidRPr="004F591C" w:rsidRDefault="00A20FA3" w:rsidP="004F591C">
      <w:pPr>
        <w:pStyle w:val="Default"/>
        <w:jc w:val="both"/>
      </w:pPr>
    </w:p>
    <w:p w14:paraId="26145FE7" w14:textId="33B28D2C" w:rsidR="00541302" w:rsidRDefault="00C314AD" w:rsidP="004F591C">
      <w:pPr>
        <w:shd w:val="clear" w:color="auto" w:fill="FFFFFF"/>
        <w:spacing w:after="0" w:line="240" w:lineRule="auto"/>
        <w:jc w:val="both"/>
        <w:rPr>
          <w:rFonts w:ascii="Times New Roman" w:hAnsi="Times New Roman" w:cs="Times New Roman"/>
          <w:sz w:val="24"/>
          <w:szCs w:val="24"/>
        </w:rPr>
      </w:pPr>
      <w:r w:rsidRPr="004F591C">
        <w:rPr>
          <w:rFonts w:ascii="Times New Roman" w:hAnsi="Times New Roman" w:cs="Times New Roman"/>
          <w:sz w:val="24"/>
          <w:szCs w:val="24"/>
        </w:rPr>
        <w:t xml:space="preserve">Reviewing and relying IRBs are required under federal policy to enter into a reliance agreement, or an IRB Authorization Agreement. The CRC IRB is a participating institution in SMART IRB, a national reliance agreement and reliance request system. Documentation of reliance arrangements must be kept on file by both the reviewing and relying IRBs. Requests to review or rely should additionally be made by the </w:t>
      </w:r>
      <w:r w:rsidR="0040197C" w:rsidRPr="004F591C">
        <w:rPr>
          <w:rFonts w:ascii="Times New Roman" w:hAnsi="Times New Roman" w:cs="Times New Roman"/>
          <w:sz w:val="24"/>
          <w:szCs w:val="24"/>
        </w:rPr>
        <w:t xml:space="preserve">CRC </w:t>
      </w:r>
      <w:r w:rsidRPr="004F591C">
        <w:rPr>
          <w:rFonts w:ascii="Times New Roman" w:hAnsi="Times New Roman" w:cs="Times New Roman"/>
          <w:sz w:val="24"/>
          <w:szCs w:val="24"/>
        </w:rPr>
        <w:t xml:space="preserve">investigator </w:t>
      </w:r>
      <w:r w:rsidR="0040197C" w:rsidRPr="004F591C">
        <w:rPr>
          <w:rFonts w:ascii="Times New Roman" w:hAnsi="Times New Roman" w:cs="Times New Roman"/>
          <w:sz w:val="24"/>
          <w:szCs w:val="24"/>
        </w:rPr>
        <w:t>using the CRC IRB Single IRB Request Form</w:t>
      </w:r>
      <w:r w:rsidR="009175B1">
        <w:rPr>
          <w:rFonts w:ascii="Times New Roman" w:hAnsi="Times New Roman" w:cs="Times New Roman"/>
          <w:sz w:val="24"/>
          <w:szCs w:val="24"/>
        </w:rPr>
        <w:t>, as outlined in the below procedures</w:t>
      </w:r>
      <w:r w:rsidRPr="004F591C">
        <w:rPr>
          <w:rFonts w:ascii="Times New Roman" w:hAnsi="Times New Roman" w:cs="Times New Roman"/>
          <w:sz w:val="24"/>
          <w:szCs w:val="24"/>
        </w:rPr>
        <w:t>.</w:t>
      </w:r>
    </w:p>
    <w:p w14:paraId="76EA6D5E" w14:textId="77777777" w:rsidR="009175B1" w:rsidRPr="004F591C" w:rsidRDefault="009175B1" w:rsidP="004F591C">
      <w:pPr>
        <w:shd w:val="clear" w:color="auto" w:fill="FFFFFF"/>
        <w:spacing w:after="0" w:line="240" w:lineRule="auto"/>
        <w:jc w:val="both"/>
        <w:rPr>
          <w:rFonts w:ascii="Times New Roman" w:eastAsia="Times New Roman" w:hAnsi="Times New Roman" w:cs="Times New Roman"/>
          <w:bCs/>
          <w:sz w:val="24"/>
          <w:szCs w:val="24"/>
        </w:rPr>
      </w:pPr>
    </w:p>
    <w:p w14:paraId="29C9EE29" w14:textId="057D4734" w:rsidR="009175B1" w:rsidRPr="004F591C" w:rsidRDefault="009175B1" w:rsidP="009175B1">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reviewing and relying IRBs ordinarily</w:t>
      </w:r>
      <w:r w:rsidRPr="004F591C">
        <w:rPr>
          <w:rFonts w:ascii="Times New Roman" w:eastAsia="Times New Roman" w:hAnsi="Times New Roman" w:cs="Times New Roman"/>
          <w:sz w:val="24"/>
          <w:szCs w:val="24"/>
        </w:rPr>
        <w:t xml:space="preserve"> take the following</w:t>
      </w:r>
      <w:r>
        <w:rPr>
          <w:rFonts w:ascii="Times New Roman" w:eastAsia="Times New Roman" w:hAnsi="Times New Roman" w:cs="Times New Roman"/>
          <w:sz w:val="24"/>
          <w:szCs w:val="24"/>
        </w:rPr>
        <w:t xml:space="preserve"> factors</w:t>
      </w:r>
      <w:r w:rsidRPr="004F591C">
        <w:rPr>
          <w:rFonts w:ascii="Times New Roman" w:eastAsia="Times New Roman" w:hAnsi="Times New Roman" w:cs="Times New Roman"/>
          <w:sz w:val="24"/>
          <w:szCs w:val="24"/>
        </w:rPr>
        <w:t xml:space="preserve"> into consideration</w:t>
      </w:r>
      <w:r>
        <w:rPr>
          <w:rFonts w:ascii="Times New Roman" w:eastAsia="Times New Roman" w:hAnsi="Times New Roman" w:cs="Times New Roman"/>
          <w:sz w:val="24"/>
          <w:szCs w:val="24"/>
        </w:rPr>
        <w:t xml:space="preserve"> </w:t>
      </w:r>
      <w:r w:rsidRPr="004F591C">
        <w:rPr>
          <w:rFonts w:ascii="Times New Roman" w:eastAsia="Times New Roman" w:hAnsi="Times New Roman" w:cs="Times New Roman"/>
          <w:sz w:val="24"/>
          <w:szCs w:val="24"/>
        </w:rPr>
        <w:t>when deciding</w:t>
      </w:r>
      <w:r>
        <w:rPr>
          <w:rFonts w:ascii="Times New Roman" w:eastAsia="Times New Roman" w:hAnsi="Times New Roman" w:cs="Times New Roman"/>
          <w:sz w:val="24"/>
          <w:szCs w:val="24"/>
        </w:rPr>
        <w:t xml:space="preserve"> whether to serve as the reviewing IRB or to rely on an external IRB</w:t>
      </w:r>
      <w:r w:rsidRPr="004F591C">
        <w:rPr>
          <w:rFonts w:ascii="Times New Roman" w:eastAsia="Times New Roman" w:hAnsi="Times New Roman" w:cs="Times New Roman"/>
          <w:sz w:val="24"/>
          <w:szCs w:val="24"/>
        </w:rPr>
        <w:t>:</w:t>
      </w:r>
    </w:p>
    <w:p w14:paraId="42C271F6" w14:textId="77777777" w:rsidR="009175B1" w:rsidRPr="004F591C" w:rsidRDefault="009175B1" w:rsidP="009175B1">
      <w:pPr>
        <w:pStyle w:val="ListParagraph"/>
        <w:numPr>
          <w:ilvl w:val="0"/>
          <w:numId w:val="7"/>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r</w:t>
      </w:r>
      <w:r w:rsidRPr="004F591C">
        <w:rPr>
          <w:rFonts w:ascii="Times New Roman" w:eastAsia="Times New Roman" w:hAnsi="Times New Roman" w:cs="Times New Roman"/>
          <w:sz w:val="24"/>
          <w:szCs w:val="24"/>
        </w:rPr>
        <w:t>esearch is greater than minimal risk</w:t>
      </w:r>
      <w:r>
        <w:rPr>
          <w:rFonts w:ascii="Times New Roman" w:eastAsia="Times New Roman" w:hAnsi="Times New Roman" w:cs="Times New Roman"/>
          <w:sz w:val="24"/>
          <w:szCs w:val="24"/>
        </w:rPr>
        <w:t>, the reviewing IRB is</w:t>
      </w:r>
      <w:r w:rsidRPr="004F591C" w:rsidDel="001D5B9C">
        <w:rPr>
          <w:rFonts w:ascii="Times New Roman" w:eastAsia="Times New Roman" w:hAnsi="Times New Roman" w:cs="Times New Roman"/>
          <w:sz w:val="24"/>
          <w:szCs w:val="24"/>
        </w:rPr>
        <w:t xml:space="preserve"> </w:t>
      </w:r>
      <w:r w:rsidRPr="004F591C">
        <w:rPr>
          <w:rFonts w:ascii="Times New Roman" w:eastAsia="Times New Roman" w:hAnsi="Times New Roman" w:cs="Times New Roman"/>
          <w:sz w:val="24"/>
          <w:szCs w:val="24"/>
        </w:rPr>
        <w:t>accredited</w:t>
      </w:r>
      <w:r>
        <w:rPr>
          <w:rFonts w:ascii="Times New Roman" w:eastAsia="Times New Roman" w:hAnsi="Times New Roman" w:cs="Times New Roman"/>
          <w:sz w:val="24"/>
          <w:szCs w:val="24"/>
        </w:rPr>
        <w:t>.</w:t>
      </w:r>
    </w:p>
    <w:p w14:paraId="389AC6C1" w14:textId="44D49DCF" w:rsidR="009175B1" w:rsidRDefault="009175B1" w:rsidP="009175B1">
      <w:pPr>
        <w:pStyle w:val="ListParagraph"/>
        <w:numPr>
          <w:ilvl w:val="0"/>
          <w:numId w:val="7"/>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Requirement</w:t>
      </w:r>
      <w:r w:rsidR="00850581">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under federal policy</w:t>
      </w:r>
    </w:p>
    <w:p w14:paraId="24C7B288" w14:textId="77777777" w:rsidR="009175B1" w:rsidRDefault="009175B1" w:rsidP="009175B1">
      <w:pPr>
        <w:pStyle w:val="ListParagraph"/>
        <w:numPr>
          <w:ilvl w:val="0"/>
          <w:numId w:val="7"/>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Reviewing Institution selected by study sponsor</w:t>
      </w:r>
    </w:p>
    <w:p w14:paraId="1C18CBC6" w14:textId="77777777" w:rsidR="009175B1" w:rsidRDefault="009175B1" w:rsidP="009175B1">
      <w:pPr>
        <w:pStyle w:val="ListParagraph"/>
        <w:numPr>
          <w:ilvl w:val="0"/>
          <w:numId w:val="7"/>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IRB expertise</w:t>
      </w:r>
    </w:p>
    <w:p w14:paraId="7E4E1F87" w14:textId="77777777" w:rsidR="009175B1" w:rsidRDefault="009175B1" w:rsidP="009175B1">
      <w:pPr>
        <w:pStyle w:val="ListParagraph"/>
        <w:numPr>
          <w:ilvl w:val="0"/>
          <w:numId w:val="7"/>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Local context issues</w:t>
      </w:r>
    </w:p>
    <w:p w14:paraId="161C6B84" w14:textId="77777777" w:rsidR="009175B1" w:rsidRDefault="009175B1" w:rsidP="009175B1">
      <w:pPr>
        <w:pStyle w:val="ListParagraph"/>
        <w:numPr>
          <w:ilvl w:val="0"/>
          <w:numId w:val="7"/>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Institutional conflict of interest</w:t>
      </w:r>
    </w:p>
    <w:p w14:paraId="5B5568F7" w14:textId="77777777" w:rsidR="009175B1" w:rsidRPr="00566C63" w:rsidRDefault="009175B1" w:rsidP="009175B1">
      <w:pPr>
        <w:pStyle w:val="ListParagraph"/>
        <w:numPr>
          <w:ilvl w:val="0"/>
          <w:numId w:val="7"/>
        </w:numPr>
        <w:shd w:val="clear" w:color="auto" w:fill="FFFFFF"/>
        <w:spacing w:after="0" w:line="240" w:lineRule="auto"/>
        <w:jc w:val="both"/>
        <w:rPr>
          <w:rFonts w:ascii="Times New Roman" w:eastAsia="Times New Roman" w:hAnsi="Times New Roman" w:cs="Times New Roman"/>
          <w:sz w:val="24"/>
          <w:szCs w:val="24"/>
        </w:rPr>
      </w:pPr>
      <w:r w:rsidRPr="004F591C">
        <w:rPr>
          <w:rFonts w:ascii="Times New Roman" w:eastAsia="Times New Roman" w:hAnsi="Times New Roman" w:cs="Times New Roman"/>
          <w:sz w:val="24"/>
          <w:szCs w:val="24"/>
        </w:rPr>
        <w:t>The IRB is registered and in good standing with OHRP</w:t>
      </w:r>
    </w:p>
    <w:p w14:paraId="76A8A68A" w14:textId="77777777" w:rsidR="009175B1" w:rsidRPr="004F591C" w:rsidRDefault="009175B1" w:rsidP="009175B1">
      <w:pPr>
        <w:pStyle w:val="ListParagraph"/>
        <w:numPr>
          <w:ilvl w:val="0"/>
          <w:numId w:val="7"/>
        </w:numPr>
        <w:shd w:val="clear" w:color="auto" w:fill="FFFFFF"/>
        <w:spacing w:after="0" w:line="240" w:lineRule="auto"/>
        <w:jc w:val="both"/>
        <w:rPr>
          <w:rFonts w:ascii="Times New Roman" w:eastAsia="Times New Roman" w:hAnsi="Times New Roman" w:cs="Times New Roman"/>
          <w:sz w:val="24"/>
          <w:szCs w:val="24"/>
        </w:rPr>
      </w:pPr>
      <w:r w:rsidRPr="004F591C">
        <w:rPr>
          <w:rFonts w:ascii="Times New Roman" w:eastAsia="Times New Roman" w:hAnsi="Times New Roman" w:cs="Times New Roman"/>
          <w:sz w:val="24"/>
          <w:szCs w:val="24"/>
        </w:rPr>
        <w:t>Local and state laws</w:t>
      </w:r>
    </w:p>
    <w:p w14:paraId="3F0A0208" w14:textId="77777777" w:rsidR="009175B1" w:rsidRPr="004F591C" w:rsidRDefault="009175B1" w:rsidP="009175B1">
      <w:pPr>
        <w:pStyle w:val="ListParagraph"/>
        <w:numPr>
          <w:ilvl w:val="0"/>
          <w:numId w:val="7"/>
        </w:numPr>
        <w:shd w:val="clear" w:color="auto" w:fill="FFFFFF"/>
        <w:spacing w:after="0" w:line="240" w:lineRule="auto"/>
        <w:jc w:val="both"/>
        <w:rPr>
          <w:rFonts w:ascii="Times New Roman" w:eastAsia="Times New Roman" w:hAnsi="Times New Roman" w:cs="Times New Roman"/>
          <w:sz w:val="24"/>
          <w:szCs w:val="24"/>
        </w:rPr>
      </w:pPr>
      <w:r w:rsidRPr="004F591C">
        <w:rPr>
          <w:rFonts w:ascii="Times New Roman" w:eastAsia="Times New Roman" w:hAnsi="Times New Roman" w:cs="Times New Roman"/>
          <w:sz w:val="24"/>
          <w:szCs w:val="24"/>
        </w:rPr>
        <w:t>Institutional policies</w:t>
      </w:r>
    </w:p>
    <w:p w14:paraId="7DFCB728" w14:textId="77777777" w:rsidR="009175B1" w:rsidRPr="004F591C" w:rsidRDefault="009175B1" w:rsidP="009175B1">
      <w:pPr>
        <w:pStyle w:val="ListParagraph"/>
        <w:numPr>
          <w:ilvl w:val="0"/>
          <w:numId w:val="7"/>
        </w:numPr>
        <w:shd w:val="clear" w:color="auto" w:fill="FFFFFF"/>
        <w:spacing w:after="0" w:line="240" w:lineRule="auto"/>
        <w:jc w:val="both"/>
        <w:rPr>
          <w:rFonts w:ascii="Times New Roman" w:eastAsia="Times New Roman" w:hAnsi="Times New Roman" w:cs="Times New Roman"/>
          <w:sz w:val="24"/>
          <w:szCs w:val="24"/>
        </w:rPr>
      </w:pPr>
      <w:r w:rsidRPr="004F591C">
        <w:rPr>
          <w:rFonts w:ascii="Times New Roman" w:eastAsia="Times New Roman" w:hAnsi="Times New Roman" w:cs="Times New Roman"/>
          <w:sz w:val="24"/>
          <w:szCs w:val="24"/>
        </w:rPr>
        <w:t>Investigator and institutional resources</w:t>
      </w:r>
    </w:p>
    <w:p w14:paraId="630B79F5" w14:textId="77777777" w:rsidR="009175B1" w:rsidRPr="004F591C" w:rsidRDefault="009175B1" w:rsidP="009175B1">
      <w:pPr>
        <w:pStyle w:val="ListParagraph"/>
        <w:numPr>
          <w:ilvl w:val="0"/>
          <w:numId w:val="7"/>
        </w:numPr>
        <w:shd w:val="clear" w:color="auto" w:fill="FFFFFF"/>
        <w:spacing w:after="0" w:line="240" w:lineRule="auto"/>
        <w:jc w:val="both"/>
        <w:rPr>
          <w:rFonts w:ascii="Times New Roman" w:eastAsia="Times New Roman" w:hAnsi="Times New Roman" w:cs="Times New Roman"/>
          <w:sz w:val="24"/>
          <w:szCs w:val="24"/>
        </w:rPr>
      </w:pPr>
      <w:r w:rsidRPr="004F591C">
        <w:rPr>
          <w:rFonts w:ascii="Times New Roman" w:eastAsia="Times New Roman" w:hAnsi="Times New Roman" w:cs="Times New Roman"/>
          <w:sz w:val="24"/>
          <w:szCs w:val="24"/>
        </w:rPr>
        <w:t>Investigator qualifications</w:t>
      </w:r>
    </w:p>
    <w:p w14:paraId="4A5292BB" w14:textId="77777777" w:rsidR="009175B1" w:rsidRPr="004F591C" w:rsidRDefault="009175B1" w:rsidP="009175B1">
      <w:pPr>
        <w:shd w:val="clear" w:color="auto" w:fill="FFFFFF"/>
        <w:spacing w:after="0" w:line="240" w:lineRule="auto"/>
        <w:jc w:val="both"/>
        <w:rPr>
          <w:rFonts w:ascii="Times New Roman" w:eastAsia="Times New Roman" w:hAnsi="Times New Roman" w:cs="Times New Roman"/>
          <w:sz w:val="24"/>
          <w:szCs w:val="24"/>
        </w:rPr>
      </w:pPr>
    </w:p>
    <w:p w14:paraId="5CD3EAE5" w14:textId="585476C1" w:rsidR="009175B1" w:rsidRPr="004F591C" w:rsidRDefault="009175B1" w:rsidP="009175B1">
      <w:pPr>
        <w:shd w:val="clear" w:color="auto" w:fill="FFFFFF"/>
        <w:spacing w:after="0" w:line="240" w:lineRule="auto"/>
        <w:jc w:val="both"/>
        <w:rPr>
          <w:rFonts w:ascii="Times New Roman" w:eastAsia="Times New Roman" w:hAnsi="Times New Roman" w:cs="Times New Roman"/>
          <w:sz w:val="24"/>
          <w:szCs w:val="24"/>
        </w:rPr>
      </w:pPr>
      <w:r w:rsidRPr="004F591C">
        <w:rPr>
          <w:rFonts w:ascii="Times New Roman" w:eastAsia="Times New Roman" w:hAnsi="Times New Roman" w:cs="Times New Roman"/>
          <w:sz w:val="24"/>
          <w:szCs w:val="24"/>
        </w:rPr>
        <w:t xml:space="preserve">The CRC IRB </w:t>
      </w:r>
      <w:r>
        <w:rPr>
          <w:rFonts w:ascii="Times New Roman" w:eastAsia="Times New Roman" w:hAnsi="Times New Roman" w:cs="Times New Roman"/>
          <w:sz w:val="24"/>
          <w:szCs w:val="24"/>
        </w:rPr>
        <w:t>will</w:t>
      </w:r>
      <w:r w:rsidRPr="004F591C">
        <w:rPr>
          <w:rFonts w:ascii="Times New Roman" w:eastAsia="Times New Roman" w:hAnsi="Times New Roman" w:cs="Times New Roman"/>
          <w:sz w:val="24"/>
          <w:szCs w:val="24"/>
        </w:rPr>
        <w:t xml:space="preserve"> not </w:t>
      </w:r>
      <w:r>
        <w:rPr>
          <w:rFonts w:ascii="Times New Roman" w:eastAsia="Times New Roman" w:hAnsi="Times New Roman" w:cs="Times New Roman"/>
          <w:sz w:val="24"/>
          <w:szCs w:val="24"/>
        </w:rPr>
        <w:t xml:space="preserve">ordinarily </w:t>
      </w:r>
      <w:r w:rsidRPr="004F591C">
        <w:rPr>
          <w:rFonts w:ascii="Times New Roman" w:eastAsia="Times New Roman" w:hAnsi="Times New Roman" w:cs="Times New Roman"/>
          <w:sz w:val="24"/>
          <w:szCs w:val="24"/>
        </w:rPr>
        <w:t xml:space="preserve">provide oversight for large, multi-site studies. </w:t>
      </w:r>
      <w:r w:rsidR="00850581">
        <w:rPr>
          <w:rFonts w:ascii="Times New Roman" w:eastAsia="Times New Roman" w:hAnsi="Times New Roman" w:cs="Times New Roman"/>
          <w:sz w:val="24"/>
          <w:szCs w:val="24"/>
        </w:rPr>
        <w:t>CRC</w:t>
      </w:r>
      <w:r w:rsidRPr="004F591C">
        <w:rPr>
          <w:rFonts w:ascii="Times New Roman" w:eastAsia="Times New Roman" w:hAnsi="Times New Roman" w:cs="Times New Roman"/>
          <w:sz w:val="24"/>
          <w:szCs w:val="24"/>
        </w:rPr>
        <w:t xml:space="preserve"> Investigators are encouraged to discuss their plan</w:t>
      </w:r>
      <w:r>
        <w:rPr>
          <w:rFonts w:ascii="Times New Roman" w:eastAsia="Times New Roman" w:hAnsi="Times New Roman" w:cs="Times New Roman"/>
          <w:sz w:val="24"/>
          <w:szCs w:val="24"/>
        </w:rPr>
        <w:t xml:space="preserve"> for oversight of the research</w:t>
      </w:r>
      <w:r w:rsidRPr="004F591C">
        <w:rPr>
          <w:rFonts w:ascii="Times New Roman" w:eastAsia="Times New Roman" w:hAnsi="Times New Roman" w:cs="Times New Roman"/>
          <w:sz w:val="24"/>
          <w:szCs w:val="24"/>
        </w:rPr>
        <w:t xml:space="preserve"> with the </w:t>
      </w:r>
      <w:r>
        <w:rPr>
          <w:rFonts w:ascii="Times New Roman" w:eastAsia="Times New Roman" w:hAnsi="Times New Roman" w:cs="Times New Roman"/>
          <w:sz w:val="24"/>
          <w:szCs w:val="24"/>
        </w:rPr>
        <w:t xml:space="preserve">CRC </w:t>
      </w:r>
      <w:r w:rsidRPr="004F591C">
        <w:rPr>
          <w:rFonts w:ascii="Times New Roman" w:eastAsia="Times New Roman" w:hAnsi="Times New Roman" w:cs="Times New Roman"/>
          <w:sz w:val="24"/>
          <w:szCs w:val="24"/>
        </w:rPr>
        <w:t xml:space="preserve">IRB before submitting </w:t>
      </w:r>
      <w:r>
        <w:rPr>
          <w:rFonts w:ascii="Times New Roman" w:eastAsia="Times New Roman" w:hAnsi="Times New Roman" w:cs="Times New Roman"/>
          <w:sz w:val="24"/>
          <w:szCs w:val="24"/>
        </w:rPr>
        <w:t>grant and S</w:t>
      </w:r>
      <w:r w:rsidR="00850581">
        <w:rPr>
          <w:rFonts w:ascii="Times New Roman" w:eastAsia="Times New Roman" w:hAnsi="Times New Roman" w:cs="Times New Roman"/>
          <w:sz w:val="24"/>
          <w:szCs w:val="24"/>
        </w:rPr>
        <w:t xml:space="preserve">MART </w:t>
      </w:r>
      <w:r>
        <w:rPr>
          <w:rFonts w:ascii="Times New Roman" w:eastAsia="Times New Roman" w:hAnsi="Times New Roman" w:cs="Times New Roman"/>
          <w:sz w:val="24"/>
          <w:szCs w:val="24"/>
        </w:rPr>
        <w:t xml:space="preserve">IRB </w:t>
      </w:r>
      <w:r w:rsidRPr="004F591C">
        <w:rPr>
          <w:rFonts w:ascii="Times New Roman" w:eastAsia="Times New Roman" w:hAnsi="Times New Roman" w:cs="Times New Roman"/>
          <w:sz w:val="24"/>
          <w:szCs w:val="24"/>
        </w:rPr>
        <w:t>application</w:t>
      </w:r>
      <w:r>
        <w:rPr>
          <w:rFonts w:ascii="Times New Roman" w:eastAsia="Times New Roman" w:hAnsi="Times New Roman" w:cs="Times New Roman"/>
          <w:sz w:val="24"/>
          <w:szCs w:val="24"/>
        </w:rPr>
        <w:t>s that may obligate such review</w:t>
      </w:r>
      <w:r w:rsidRPr="004F591C">
        <w:rPr>
          <w:rFonts w:ascii="Times New Roman" w:eastAsia="Times New Roman" w:hAnsi="Times New Roman" w:cs="Times New Roman"/>
          <w:sz w:val="24"/>
          <w:szCs w:val="24"/>
        </w:rPr>
        <w:t>.</w:t>
      </w:r>
    </w:p>
    <w:p w14:paraId="66F8729C" w14:textId="77777777" w:rsidR="00E07ADD" w:rsidRDefault="00E07ADD" w:rsidP="009175B1">
      <w:pPr>
        <w:shd w:val="clear" w:color="auto" w:fill="FFFFFF"/>
        <w:spacing w:after="0" w:line="240" w:lineRule="auto"/>
        <w:jc w:val="both"/>
        <w:rPr>
          <w:rFonts w:ascii="Times New Roman" w:hAnsi="Times New Roman" w:cs="Times New Roman"/>
          <w:sz w:val="24"/>
          <w:szCs w:val="24"/>
        </w:rPr>
      </w:pPr>
    </w:p>
    <w:p w14:paraId="6AA87BB1" w14:textId="1BD73D4D" w:rsidR="009175B1" w:rsidRDefault="009175B1" w:rsidP="009175B1">
      <w:pPr>
        <w:shd w:val="clear" w:color="auto" w:fill="FFFFFF"/>
        <w:spacing w:after="0" w:line="240" w:lineRule="auto"/>
        <w:jc w:val="both"/>
        <w:rPr>
          <w:rFonts w:ascii="Times New Roman" w:eastAsia="Times New Roman" w:hAnsi="Times New Roman" w:cs="Times New Roman"/>
          <w:b/>
          <w:bCs/>
          <w:sz w:val="24"/>
          <w:szCs w:val="24"/>
        </w:rPr>
      </w:pPr>
      <w:r w:rsidRPr="00F63752">
        <w:rPr>
          <w:rFonts w:ascii="Times New Roman" w:eastAsia="Times New Roman" w:hAnsi="Times New Roman" w:cs="Times New Roman"/>
          <w:b/>
          <w:bCs/>
          <w:sz w:val="24"/>
          <w:szCs w:val="24"/>
        </w:rPr>
        <w:t>Management</w:t>
      </w:r>
      <w:r w:rsidR="00E07ADD">
        <w:rPr>
          <w:rFonts w:ascii="Times New Roman" w:eastAsia="Times New Roman" w:hAnsi="Times New Roman" w:cs="Times New Roman"/>
          <w:b/>
          <w:bCs/>
          <w:sz w:val="24"/>
          <w:szCs w:val="24"/>
        </w:rPr>
        <w:t xml:space="preserve"> of Conflicts of Interest</w:t>
      </w:r>
      <w:r w:rsidRPr="00F63752">
        <w:rPr>
          <w:rFonts w:ascii="Times New Roman" w:eastAsia="Times New Roman" w:hAnsi="Times New Roman" w:cs="Times New Roman"/>
          <w:b/>
          <w:bCs/>
          <w:sz w:val="24"/>
          <w:szCs w:val="24"/>
        </w:rPr>
        <w:t xml:space="preserve"> </w:t>
      </w:r>
    </w:p>
    <w:p w14:paraId="4B8091C3" w14:textId="77777777" w:rsidR="00850581" w:rsidRPr="00F63752" w:rsidRDefault="00850581" w:rsidP="009175B1">
      <w:pPr>
        <w:shd w:val="clear" w:color="auto" w:fill="FFFFFF"/>
        <w:spacing w:after="0" w:line="240" w:lineRule="auto"/>
        <w:jc w:val="both"/>
        <w:rPr>
          <w:rFonts w:ascii="Times New Roman" w:eastAsia="Times New Roman" w:hAnsi="Times New Roman" w:cs="Times New Roman"/>
          <w:sz w:val="24"/>
          <w:szCs w:val="24"/>
        </w:rPr>
      </w:pPr>
    </w:p>
    <w:p w14:paraId="5C9E2F82" w14:textId="48420354" w:rsidR="009175B1" w:rsidRPr="004F591C" w:rsidRDefault="009175B1" w:rsidP="009175B1">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Each institution retains responsibility for managing the financial conflicts of interests </w:t>
      </w:r>
      <w:r w:rsidR="00E07ADD">
        <w:rPr>
          <w:rFonts w:ascii="Times New Roman" w:eastAsia="Times New Roman" w:hAnsi="Times New Roman" w:cs="Times New Roman"/>
          <w:sz w:val="24"/>
          <w:szCs w:val="24"/>
        </w:rPr>
        <w:t xml:space="preserve">(COI) </w:t>
      </w:r>
      <w:r>
        <w:rPr>
          <w:rFonts w:ascii="Times New Roman" w:eastAsia="Times New Roman" w:hAnsi="Times New Roman" w:cs="Times New Roman"/>
          <w:sz w:val="24"/>
          <w:szCs w:val="24"/>
        </w:rPr>
        <w:t xml:space="preserve">of their Investigators and research personnel, including those responsible for the design, conduct and </w:t>
      </w:r>
      <w:r>
        <w:rPr>
          <w:rFonts w:ascii="Times New Roman" w:eastAsia="Times New Roman" w:hAnsi="Times New Roman" w:cs="Times New Roman"/>
          <w:sz w:val="24"/>
          <w:szCs w:val="24"/>
        </w:rPr>
        <w:lastRenderedPageBreak/>
        <w:t xml:space="preserve">reporting of the research and communicating any such conflicts and management plans to the respective reviewing and relying IRBs. For example, if a reviewing IRB’s Investigator has a management plan for a financial conflict of interest, the existence of the management plan will be disclosed to the relying IRB and relying site Investigator, and vice versa. </w:t>
      </w:r>
    </w:p>
    <w:p w14:paraId="3B9171E2" w14:textId="77777777" w:rsidR="009175B1" w:rsidRPr="004F591C" w:rsidRDefault="009175B1" w:rsidP="009175B1">
      <w:pPr>
        <w:shd w:val="clear" w:color="auto" w:fill="FFFFFF"/>
        <w:spacing w:after="0" w:line="240" w:lineRule="auto"/>
        <w:jc w:val="both"/>
        <w:rPr>
          <w:rFonts w:ascii="Times New Roman" w:eastAsia="Times New Roman" w:hAnsi="Times New Roman" w:cs="Times New Roman"/>
          <w:b/>
          <w:bCs/>
          <w:sz w:val="24"/>
          <w:szCs w:val="24"/>
        </w:rPr>
      </w:pPr>
    </w:p>
    <w:p w14:paraId="55CAB4E8" w14:textId="1E64C8F9" w:rsidR="009175B1" w:rsidRDefault="009175B1" w:rsidP="009175B1">
      <w:pPr>
        <w:shd w:val="clear" w:color="auto" w:fill="FFFFFF"/>
        <w:spacing w:after="0" w:line="240" w:lineRule="auto"/>
        <w:jc w:val="both"/>
        <w:rPr>
          <w:rFonts w:ascii="Times New Roman" w:eastAsia="Times New Roman" w:hAnsi="Times New Roman" w:cs="Times New Roman"/>
          <w:b/>
          <w:bCs/>
          <w:sz w:val="24"/>
          <w:szCs w:val="24"/>
        </w:rPr>
      </w:pPr>
      <w:r w:rsidRPr="004F591C">
        <w:rPr>
          <w:rFonts w:ascii="Times New Roman" w:eastAsia="Times New Roman" w:hAnsi="Times New Roman" w:cs="Times New Roman"/>
          <w:b/>
          <w:bCs/>
          <w:sz w:val="24"/>
          <w:szCs w:val="24"/>
        </w:rPr>
        <w:t>Ancillary or Institutional Reviews:</w:t>
      </w:r>
    </w:p>
    <w:p w14:paraId="1B7EB7D9" w14:textId="77777777" w:rsidR="00850581" w:rsidRPr="004F591C" w:rsidRDefault="00850581" w:rsidP="009175B1">
      <w:pPr>
        <w:shd w:val="clear" w:color="auto" w:fill="FFFFFF"/>
        <w:spacing w:after="0" w:line="240" w:lineRule="auto"/>
        <w:jc w:val="both"/>
        <w:rPr>
          <w:rFonts w:ascii="Times New Roman" w:eastAsia="Times New Roman" w:hAnsi="Times New Roman" w:cs="Times New Roman"/>
          <w:sz w:val="24"/>
          <w:szCs w:val="24"/>
        </w:rPr>
      </w:pPr>
    </w:p>
    <w:p w14:paraId="5C8AFEE6" w14:textId="6068DAC4" w:rsidR="009175B1" w:rsidRPr="004F591C" w:rsidRDefault="009175B1" w:rsidP="009175B1">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Investigators at reviewing and relying institutions are responsible for obtaining and satisfying any additional a</w:t>
      </w:r>
      <w:r w:rsidRPr="004F591C">
        <w:rPr>
          <w:rFonts w:ascii="Times New Roman" w:eastAsia="Times New Roman" w:hAnsi="Times New Roman" w:cs="Times New Roman"/>
          <w:sz w:val="24"/>
          <w:szCs w:val="24"/>
        </w:rPr>
        <w:t xml:space="preserve">ncillary or institutional reviews </w:t>
      </w:r>
      <w:r>
        <w:rPr>
          <w:rFonts w:ascii="Times New Roman" w:eastAsia="Times New Roman" w:hAnsi="Times New Roman" w:cs="Times New Roman"/>
          <w:sz w:val="24"/>
          <w:szCs w:val="24"/>
        </w:rPr>
        <w:t xml:space="preserve">required by their respective institutions (e.g. radiation safety, pharmacy, COI, </w:t>
      </w:r>
      <w:r w:rsidR="008605E6">
        <w:rPr>
          <w:rFonts w:ascii="Times New Roman" w:eastAsia="Times New Roman" w:hAnsi="Times New Roman" w:cs="Times New Roman"/>
          <w:sz w:val="24"/>
          <w:szCs w:val="24"/>
        </w:rPr>
        <w:t xml:space="preserve">Privacy Board, EHS, </w:t>
      </w:r>
      <w:r>
        <w:rPr>
          <w:rFonts w:ascii="Times New Roman" w:eastAsia="Times New Roman" w:hAnsi="Times New Roman" w:cs="Times New Roman"/>
          <w:sz w:val="24"/>
          <w:szCs w:val="24"/>
        </w:rPr>
        <w:t>etc.)</w:t>
      </w:r>
      <w:r w:rsidR="008605E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and</w:t>
      </w:r>
      <w:r w:rsidRPr="004F591C">
        <w:rPr>
          <w:rFonts w:ascii="Times New Roman" w:eastAsia="Times New Roman" w:hAnsi="Times New Roman" w:cs="Times New Roman"/>
          <w:sz w:val="24"/>
          <w:szCs w:val="24"/>
        </w:rPr>
        <w:t xml:space="preserve"> complying with all institutional requirements</w:t>
      </w:r>
      <w:r w:rsidR="008605E6">
        <w:rPr>
          <w:rFonts w:ascii="Times New Roman" w:eastAsia="Times New Roman" w:hAnsi="Times New Roman" w:cs="Times New Roman"/>
          <w:sz w:val="24"/>
          <w:szCs w:val="24"/>
        </w:rPr>
        <w:t>,</w:t>
      </w:r>
      <w:r w:rsidRPr="004F591C">
        <w:rPr>
          <w:rFonts w:ascii="Times New Roman" w:eastAsia="Times New Roman" w:hAnsi="Times New Roman" w:cs="Times New Roman"/>
          <w:sz w:val="24"/>
          <w:szCs w:val="24"/>
        </w:rPr>
        <w:t xml:space="preserve"> regardless of </w:t>
      </w:r>
      <w:r>
        <w:rPr>
          <w:rFonts w:ascii="Times New Roman" w:eastAsia="Times New Roman" w:hAnsi="Times New Roman" w:cs="Times New Roman"/>
          <w:sz w:val="24"/>
          <w:szCs w:val="24"/>
        </w:rPr>
        <w:t xml:space="preserve">which </w:t>
      </w:r>
      <w:r w:rsidRPr="004F591C">
        <w:rPr>
          <w:rFonts w:ascii="Times New Roman" w:eastAsia="Times New Roman" w:hAnsi="Times New Roman" w:cs="Times New Roman"/>
          <w:sz w:val="24"/>
          <w:szCs w:val="24"/>
        </w:rPr>
        <w:t>IRB review</w:t>
      </w:r>
      <w:r>
        <w:rPr>
          <w:rFonts w:ascii="Times New Roman" w:eastAsia="Times New Roman" w:hAnsi="Times New Roman" w:cs="Times New Roman"/>
          <w:sz w:val="24"/>
          <w:szCs w:val="24"/>
        </w:rPr>
        <w:t>s the research</w:t>
      </w:r>
      <w:r w:rsidRPr="004F591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Additionally, relying Investigators and Institutions/IRBs may be subject to additional requirements of reviewing Institutions/IRBs that they may not have to satisfy at their home institutions. </w:t>
      </w:r>
    </w:p>
    <w:p w14:paraId="5B61967E" w14:textId="77777777" w:rsidR="009175B1" w:rsidRPr="004F591C" w:rsidRDefault="009175B1" w:rsidP="009175B1">
      <w:pPr>
        <w:shd w:val="clear" w:color="auto" w:fill="FFFFFF"/>
        <w:spacing w:after="0" w:line="240" w:lineRule="auto"/>
        <w:jc w:val="both"/>
        <w:rPr>
          <w:rFonts w:ascii="Times New Roman" w:eastAsia="Times New Roman" w:hAnsi="Times New Roman" w:cs="Times New Roman"/>
          <w:b/>
          <w:bCs/>
          <w:sz w:val="24"/>
          <w:szCs w:val="24"/>
        </w:rPr>
      </w:pPr>
    </w:p>
    <w:p w14:paraId="49D750EA" w14:textId="675FCCEE" w:rsidR="009175B1" w:rsidRDefault="009175B1" w:rsidP="009175B1">
      <w:pPr>
        <w:shd w:val="clear" w:color="auto" w:fill="FFFFFF"/>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Investigator Responsibilities</w:t>
      </w:r>
      <w:r w:rsidRPr="004F591C">
        <w:rPr>
          <w:rFonts w:ascii="Times New Roman" w:eastAsia="Times New Roman" w:hAnsi="Times New Roman" w:cs="Times New Roman"/>
          <w:b/>
          <w:bCs/>
          <w:sz w:val="24"/>
          <w:szCs w:val="24"/>
        </w:rPr>
        <w:t>:</w:t>
      </w:r>
    </w:p>
    <w:p w14:paraId="6145C324" w14:textId="77777777" w:rsidR="00850581" w:rsidRDefault="00850581" w:rsidP="009175B1">
      <w:pPr>
        <w:shd w:val="clear" w:color="auto" w:fill="FFFFFF"/>
        <w:spacing w:after="0" w:line="240" w:lineRule="auto"/>
        <w:jc w:val="both"/>
        <w:rPr>
          <w:rFonts w:ascii="Times New Roman" w:eastAsia="Times New Roman" w:hAnsi="Times New Roman" w:cs="Times New Roman"/>
          <w:b/>
          <w:bCs/>
          <w:sz w:val="24"/>
          <w:szCs w:val="24"/>
        </w:rPr>
      </w:pPr>
    </w:p>
    <w:p w14:paraId="6448057C" w14:textId="77777777" w:rsidR="009175B1" w:rsidRPr="00157B76" w:rsidRDefault="009175B1" w:rsidP="009175B1">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Investigators at relying institutions must comply with the policies and procedures of the reviewing IRB and with the approved protocol of the reviewing IRB, including any recruitment and consent procedures and documents, data collection procedures and materials, and compliance reporting.  </w:t>
      </w:r>
    </w:p>
    <w:p w14:paraId="3A075624" w14:textId="77777777" w:rsidR="009175B1" w:rsidRDefault="009175B1" w:rsidP="009175B1">
      <w:pPr>
        <w:pStyle w:val="ListParagraph"/>
        <w:shd w:val="clear" w:color="auto" w:fill="FFFFFF"/>
        <w:spacing w:after="0" w:line="240" w:lineRule="auto"/>
        <w:ind w:left="0"/>
        <w:jc w:val="both"/>
        <w:rPr>
          <w:rFonts w:ascii="Times New Roman" w:eastAsia="Times New Roman" w:hAnsi="Times New Roman" w:cs="Times New Roman"/>
          <w:sz w:val="24"/>
          <w:szCs w:val="24"/>
        </w:rPr>
      </w:pPr>
    </w:p>
    <w:p w14:paraId="468072BA" w14:textId="4C5C1F82" w:rsidR="009175B1" w:rsidRDefault="009175B1" w:rsidP="009175B1">
      <w:pPr>
        <w:pStyle w:val="ListParagraph"/>
        <w:shd w:val="clear" w:color="auto" w:fill="FFFFFF"/>
        <w:spacing w:after="0" w:line="240" w:lineRule="auto"/>
        <w:ind w:left="0"/>
        <w:jc w:val="both"/>
        <w:rPr>
          <w:rFonts w:ascii="Times New Roman" w:eastAsia="Times New Roman" w:hAnsi="Times New Roman" w:cs="Times New Roman"/>
          <w:sz w:val="24"/>
          <w:szCs w:val="24"/>
        </w:rPr>
      </w:pPr>
      <w:r w:rsidRPr="008B718F">
        <w:rPr>
          <w:rFonts w:ascii="Times New Roman" w:eastAsia="Times New Roman" w:hAnsi="Times New Roman" w:cs="Times New Roman"/>
          <w:sz w:val="24"/>
          <w:szCs w:val="24"/>
        </w:rPr>
        <w:t>In the event of an audit</w:t>
      </w:r>
      <w:r>
        <w:rPr>
          <w:rFonts w:ascii="Times New Roman" w:eastAsia="Times New Roman" w:hAnsi="Times New Roman" w:cs="Times New Roman"/>
          <w:sz w:val="24"/>
          <w:szCs w:val="24"/>
        </w:rPr>
        <w:t xml:space="preserve"> or site visit</w:t>
      </w:r>
      <w:r w:rsidRPr="008B718F">
        <w:rPr>
          <w:rFonts w:ascii="Times New Roman" w:eastAsia="Times New Roman" w:hAnsi="Times New Roman" w:cs="Times New Roman"/>
          <w:sz w:val="24"/>
          <w:szCs w:val="24"/>
        </w:rPr>
        <w:t xml:space="preserve"> (i.e. Sponsor, </w:t>
      </w:r>
      <w:r>
        <w:rPr>
          <w:rFonts w:ascii="Times New Roman" w:eastAsia="Times New Roman" w:hAnsi="Times New Roman" w:cs="Times New Roman"/>
          <w:sz w:val="24"/>
          <w:szCs w:val="24"/>
        </w:rPr>
        <w:t xml:space="preserve">FDA, OHRP, </w:t>
      </w:r>
      <w:r w:rsidRPr="008B718F">
        <w:rPr>
          <w:rFonts w:ascii="Times New Roman" w:eastAsia="Times New Roman" w:hAnsi="Times New Roman" w:cs="Times New Roman"/>
          <w:sz w:val="24"/>
          <w:szCs w:val="24"/>
        </w:rPr>
        <w:t>relying or reviewing IRB</w:t>
      </w:r>
      <w:r>
        <w:rPr>
          <w:rFonts w:ascii="Times New Roman" w:eastAsia="Times New Roman" w:hAnsi="Times New Roman" w:cs="Times New Roman"/>
          <w:sz w:val="24"/>
          <w:szCs w:val="24"/>
        </w:rPr>
        <w:t xml:space="preserve"> quality improvement or compliance personnel</w:t>
      </w:r>
      <w:r w:rsidRPr="008B718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accrediting agencies, </w:t>
      </w:r>
      <w:r w:rsidRPr="008B718F">
        <w:rPr>
          <w:rFonts w:ascii="Times New Roman" w:eastAsia="Times New Roman" w:hAnsi="Times New Roman" w:cs="Times New Roman"/>
          <w:sz w:val="24"/>
          <w:szCs w:val="24"/>
        </w:rPr>
        <w:t xml:space="preserve">etc.) allow the appropriate personnel </w:t>
      </w:r>
      <w:r>
        <w:rPr>
          <w:rFonts w:ascii="Times New Roman" w:eastAsia="Times New Roman" w:hAnsi="Times New Roman" w:cs="Times New Roman"/>
          <w:sz w:val="24"/>
          <w:szCs w:val="24"/>
        </w:rPr>
        <w:t xml:space="preserve">from the relying or reviewing institutions </w:t>
      </w:r>
      <w:r w:rsidRPr="008B718F">
        <w:rPr>
          <w:rFonts w:ascii="Times New Roman" w:eastAsia="Times New Roman" w:hAnsi="Times New Roman" w:cs="Times New Roman"/>
          <w:sz w:val="24"/>
          <w:szCs w:val="24"/>
        </w:rPr>
        <w:t xml:space="preserve">access to research related records. </w:t>
      </w:r>
    </w:p>
    <w:p w14:paraId="0531997E" w14:textId="77777777" w:rsidR="00850581" w:rsidRPr="008B718F" w:rsidRDefault="00850581" w:rsidP="009175B1">
      <w:pPr>
        <w:pStyle w:val="ListParagraph"/>
        <w:shd w:val="clear" w:color="auto" w:fill="FFFFFF"/>
        <w:spacing w:after="0" w:line="240" w:lineRule="auto"/>
        <w:ind w:left="0"/>
        <w:jc w:val="both"/>
        <w:rPr>
          <w:rFonts w:ascii="Times New Roman" w:eastAsia="Times New Roman" w:hAnsi="Times New Roman" w:cs="Times New Roman"/>
          <w:sz w:val="24"/>
          <w:szCs w:val="24"/>
        </w:rPr>
      </w:pPr>
    </w:p>
    <w:p w14:paraId="3E2DC321" w14:textId="6436F41D" w:rsidR="009175B1" w:rsidRPr="00850581" w:rsidRDefault="00850581" w:rsidP="00850581">
      <w:pPr>
        <w:pStyle w:val="ListParagraph"/>
        <w:shd w:val="clear" w:color="auto" w:fill="FFFFFF"/>
        <w:spacing w:after="0" w:line="24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9175B1">
        <w:rPr>
          <w:rFonts w:ascii="Times New Roman" w:eastAsia="Times New Roman" w:hAnsi="Times New Roman" w:cs="Times New Roman"/>
          <w:sz w:val="24"/>
          <w:szCs w:val="24"/>
        </w:rPr>
        <w:t xml:space="preserve">nvestigators at the reviewing and relying institutions must notify each other and the IRBs at their respective institutions of initial approvals or study closures, </w:t>
      </w:r>
      <w:r w:rsidR="009175B1" w:rsidRPr="004F591C">
        <w:rPr>
          <w:rFonts w:ascii="Times New Roman" w:eastAsia="Times New Roman" w:hAnsi="Times New Roman" w:cs="Times New Roman"/>
          <w:sz w:val="24"/>
          <w:szCs w:val="24"/>
        </w:rPr>
        <w:t xml:space="preserve"> lapse </w:t>
      </w:r>
      <w:r w:rsidR="009175B1">
        <w:rPr>
          <w:rFonts w:ascii="Times New Roman" w:eastAsia="Times New Roman" w:hAnsi="Times New Roman" w:cs="Times New Roman"/>
          <w:sz w:val="24"/>
          <w:szCs w:val="24"/>
        </w:rPr>
        <w:t xml:space="preserve">in </w:t>
      </w:r>
      <w:r w:rsidR="009175B1" w:rsidRPr="004F591C">
        <w:rPr>
          <w:rFonts w:ascii="Times New Roman" w:eastAsia="Times New Roman" w:hAnsi="Times New Roman" w:cs="Times New Roman"/>
          <w:sz w:val="24"/>
          <w:szCs w:val="24"/>
        </w:rPr>
        <w:t>IRB approval</w:t>
      </w:r>
      <w:r w:rsidR="009175B1">
        <w:rPr>
          <w:rFonts w:ascii="Times New Roman" w:eastAsia="Times New Roman" w:hAnsi="Times New Roman" w:cs="Times New Roman"/>
          <w:sz w:val="24"/>
          <w:szCs w:val="24"/>
        </w:rPr>
        <w:t xml:space="preserve">, unanticipated problems involving risks to participants or others, serious or continuing non-compliance, suspension or termination of the research or study investigators, findings of misconduct, or FCOIs related to the research.  </w:t>
      </w:r>
    </w:p>
    <w:p w14:paraId="2B5CFFB1" w14:textId="77777777" w:rsidR="009175B1" w:rsidRPr="004F591C" w:rsidRDefault="009175B1" w:rsidP="004F591C">
      <w:pPr>
        <w:shd w:val="clear" w:color="auto" w:fill="FFFFFF"/>
        <w:spacing w:after="0" w:line="240" w:lineRule="auto"/>
        <w:jc w:val="both"/>
        <w:rPr>
          <w:rFonts w:ascii="Times New Roman" w:eastAsia="Times New Roman" w:hAnsi="Times New Roman" w:cs="Times New Roman"/>
          <w:b/>
          <w:bCs/>
          <w:sz w:val="24"/>
          <w:szCs w:val="24"/>
        </w:rPr>
      </w:pPr>
    </w:p>
    <w:p w14:paraId="573101C9" w14:textId="77777777" w:rsidR="008A4D84" w:rsidRPr="004F591C" w:rsidRDefault="008A4D84" w:rsidP="004F591C">
      <w:pPr>
        <w:shd w:val="clear" w:color="auto" w:fill="FFFFFF"/>
        <w:spacing w:after="0" w:line="240" w:lineRule="auto"/>
        <w:jc w:val="both"/>
        <w:rPr>
          <w:rFonts w:ascii="Times New Roman" w:eastAsia="Times New Roman" w:hAnsi="Times New Roman" w:cs="Times New Roman"/>
          <w:b/>
          <w:bCs/>
          <w:sz w:val="24"/>
          <w:szCs w:val="24"/>
        </w:rPr>
      </w:pPr>
      <w:r w:rsidRPr="004F591C">
        <w:rPr>
          <w:rFonts w:ascii="Times New Roman" w:eastAsia="Times New Roman" w:hAnsi="Times New Roman" w:cs="Times New Roman"/>
          <w:b/>
          <w:bCs/>
          <w:sz w:val="24"/>
          <w:szCs w:val="24"/>
        </w:rPr>
        <w:t>Procedures:</w:t>
      </w:r>
    </w:p>
    <w:p w14:paraId="0E1E6F0A" w14:textId="77777777" w:rsidR="00693A80" w:rsidRPr="004F591C" w:rsidRDefault="00693A80" w:rsidP="004F591C">
      <w:pPr>
        <w:shd w:val="clear" w:color="auto" w:fill="FFFFFF"/>
        <w:spacing w:after="0" w:line="240" w:lineRule="auto"/>
        <w:jc w:val="both"/>
        <w:rPr>
          <w:rFonts w:ascii="Times New Roman" w:eastAsia="Times New Roman" w:hAnsi="Times New Roman" w:cs="Times New Roman"/>
          <w:sz w:val="24"/>
          <w:szCs w:val="24"/>
        </w:rPr>
      </w:pPr>
    </w:p>
    <w:p w14:paraId="68985DDE" w14:textId="48FB2E2C" w:rsidR="001E2B73" w:rsidRPr="004F591C" w:rsidRDefault="008A4D84" w:rsidP="004F591C">
      <w:pPr>
        <w:shd w:val="clear" w:color="auto" w:fill="FFFFFF"/>
        <w:spacing w:after="0" w:line="240" w:lineRule="auto"/>
        <w:jc w:val="both"/>
        <w:rPr>
          <w:rFonts w:ascii="Times New Roman" w:eastAsia="Times New Roman" w:hAnsi="Times New Roman" w:cs="Times New Roman"/>
          <w:sz w:val="24"/>
          <w:szCs w:val="24"/>
        </w:rPr>
      </w:pPr>
      <w:r w:rsidRPr="004F591C">
        <w:rPr>
          <w:rFonts w:ascii="Times New Roman" w:eastAsia="Times New Roman" w:hAnsi="Times New Roman" w:cs="Times New Roman"/>
          <w:sz w:val="24"/>
          <w:szCs w:val="24"/>
        </w:rPr>
        <w:t xml:space="preserve">The CRC IRB may enter </w:t>
      </w:r>
      <w:r w:rsidR="001E2B73" w:rsidRPr="004F591C">
        <w:rPr>
          <w:rFonts w:ascii="Times New Roman" w:eastAsia="Times New Roman" w:hAnsi="Times New Roman" w:cs="Times New Roman"/>
          <w:sz w:val="24"/>
          <w:szCs w:val="24"/>
        </w:rPr>
        <w:t xml:space="preserve">into </w:t>
      </w:r>
      <w:r w:rsidRPr="004F591C">
        <w:rPr>
          <w:rFonts w:ascii="Times New Roman" w:eastAsia="Times New Roman" w:hAnsi="Times New Roman" w:cs="Times New Roman"/>
          <w:sz w:val="24"/>
          <w:szCs w:val="24"/>
        </w:rPr>
        <w:t xml:space="preserve">reliance agreements with other institutions for </w:t>
      </w:r>
      <w:r w:rsidR="001E2B73" w:rsidRPr="004F591C">
        <w:rPr>
          <w:rFonts w:ascii="Times New Roman" w:eastAsia="Times New Roman" w:hAnsi="Times New Roman" w:cs="Times New Roman"/>
          <w:sz w:val="24"/>
          <w:szCs w:val="24"/>
        </w:rPr>
        <w:t xml:space="preserve">multisite or collaborative </w:t>
      </w:r>
      <w:r w:rsidRPr="004F591C">
        <w:rPr>
          <w:rFonts w:ascii="Times New Roman" w:eastAsia="Times New Roman" w:hAnsi="Times New Roman" w:cs="Times New Roman"/>
          <w:sz w:val="24"/>
          <w:szCs w:val="24"/>
        </w:rPr>
        <w:t xml:space="preserve">research </w:t>
      </w:r>
      <w:r w:rsidR="001E2B73" w:rsidRPr="004F591C">
        <w:rPr>
          <w:rFonts w:ascii="Times New Roman" w:eastAsia="Times New Roman" w:hAnsi="Times New Roman" w:cs="Times New Roman"/>
          <w:sz w:val="24"/>
          <w:szCs w:val="24"/>
        </w:rPr>
        <w:t>in which</w:t>
      </w:r>
      <w:r w:rsidRPr="004F591C">
        <w:rPr>
          <w:rFonts w:ascii="Times New Roman" w:eastAsia="Times New Roman" w:hAnsi="Times New Roman" w:cs="Times New Roman"/>
          <w:sz w:val="24"/>
          <w:szCs w:val="24"/>
        </w:rPr>
        <w:t xml:space="preserve"> </w:t>
      </w:r>
      <w:r w:rsidR="00053BB2" w:rsidRPr="004F591C">
        <w:rPr>
          <w:rFonts w:ascii="Times New Roman" w:eastAsia="Times New Roman" w:hAnsi="Times New Roman" w:cs="Times New Roman"/>
          <w:sz w:val="24"/>
          <w:szCs w:val="24"/>
        </w:rPr>
        <w:t xml:space="preserve">investigators from </w:t>
      </w:r>
      <w:r w:rsidRPr="004F591C">
        <w:rPr>
          <w:rFonts w:ascii="Times New Roman" w:eastAsia="Times New Roman" w:hAnsi="Times New Roman" w:cs="Times New Roman"/>
          <w:sz w:val="24"/>
          <w:szCs w:val="24"/>
        </w:rPr>
        <w:t xml:space="preserve">BU CRC </w:t>
      </w:r>
      <w:r w:rsidR="00053BB2" w:rsidRPr="004F591C">
        <w:rPr>
          <w:rFonts w:ascii="Times New Roman" w:eastAsia="Times New Roman" w:hAnsi="Times New Roman" w:cs="Times New Roman"/>
          <w:sz w:val="24"/>
          <w:szCs w:val="24"/>
        </w:rPr>
        <w:t xml:space="preserve">and the other institutions </w:t>
      </w:r>
      <w:r w:rsidR="001E2B73" w:rsidRPr="004F591C">
        <w:rPr>
          <w:rFonts w:ascii="Times New Roman" w:eastAsia="Times New Roman" w:hAnsi="Times New Roman" w:cs="Times New Roman"/>
          <w:sz w:val="24"/>
          <w:szCs w:val="24"/>
        </w:rPr>
        <w:t>are engaged</w:t>
      </w:r>
      <w:r w:rsidRPr="004F591C">
        <w:rPr>
          <w:rFonts w:ascii="Times New Roman" w:eastAsia="Times New Roman" w:hAnsi="Times New Roman" w:cs="Times New Roman"/>
          <w:sz w:val="24"/>
          <w:szCs w:val="24"/>
        </w:rPr>
        <w:t>. The CRC IRB may serve as either the reviewing IRB or the relying IRB.</w:t>
      </w:r>
      <w:r w:rsidR="00E42F8F">
        <w:rPr>
          <w:rFonts w:ascii="Times New Roman" w:eastAsia="Times New Roman" w:hAnsi="Times New Roman" w:cs="Times New Roman"/>
          <w:sz w:val="24"/>
          <w:szCs w:val="24"/>
        </w:rPr>
        <w:t xml:space="preserve"> </w:t>
      </w:r>
    </w:p>
    <w:p w14:paraId="65F5C6E4" w14:textId="20DBF345" w:rsidR="00E42F8F" w:rsidRDefault="00E42F8F" w:rsidP="004F591C">
      <w:pPr>
        <w:shd w:val="clear" w:color="auto" w:fill="FFFFFF"/>
        <w:spacing w:after="0" w:line="240" w:lineRule="auto"/>
        <w:jc w:val="both"/>
        <w:rPr>
          <w:rFonts w:ascii="Times New Roman" w:eastAsia="Times New Roman" w:hAnsi="Times New Roman" w:cs="Times New Roman"/>
          <w:b/>
          <w:bCs/>
          <w:sz w:val="24"/>
          <w:szCs w:val="24"/>
        </w:rPr>
      </w:pPr>
    </w:p>
    <w:p w14:paraId="31105AC2" w14:textId="7B344A93" w:rsidR="00E42F8F" w:rsidRDefault="00E42F8F" w:rsidP="004F591C">
      <w:pPr>
        <w:shd w:val="clear" w:color="auto" w:fill="FFFFFF"/>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Process for Submitting Requests:</w:t>
      </w:r>
    </w:p>
    <w:p w14:paraId="201DD17B" w14:textId="77777777" w:rsidR="00E42F8F" w:rsidRPr="004F591C" w:rsidRDefault="00E42F8F" w:rsidP="004F591C">
      <w:pPr>
        <w:shd w:val="clear" w:color="auto" w:fill="FFFFFF"/>
        <w:spacing w:after="0" w:line="240" w:lineRule="auto"/>
        <w:jc w:val="both"/>
        <w:rPr>
          <w:rFonts w:ascii="Times New Roman" w:eastAsia="Times New Roman" w:hAnsi="Times New Roman" w:cs="Times New Roman"/>
          <w:sz w:val="24"/>
          <w:szCs w:val="24"/>
        </w:rPr>
      </w:pPr>
    </w:p>
    <w:p w14:paraId="360F7930" w14:textId="77777777" w:rsidR="002168C7" w:rsidRDefault="00566C63" w:rsidP="00566C63">
      <w:pPr>
        <w:pStyle w:val="ListParagraph"/>
        <w:numPr>
          <w:ilvl w:val="0"/>
          <w:numId w:val="22"/>
        </w:numPr>
        <w:shd w:val="clear" w:color="auto" w:fill="FFFFFF"/>
        <w:spacing w:after="0" w:line="240" w:lineRule="auto"/>
        <w:ind w:left="360"/>
        <w:jc w:val="both"/>
        <w:rPr>
          <w:rFonts w:ascii="Times New Roman" w:eastAsia="Times New Roman" w:hAnsi="Times New Roman" w:cs="Times New Roman"/>
          <w:b/>
          <w:bCs/>
          <w:sz w:val="24"/>
          <w:szCs w:val="24"/>
        </w:rPr>
      </w:pPr>
      <w:bookmarkStart w:id="0" w:name="_Hlk38989337"/>
      <w:r w:rsidRPr="00566C63">
        <w:rPr>
          <w:rFonts w:ascii="Times New Roman" w:eastAsia="Times New Roman" w:hAnsi="Times New Roman" w:cs="Times New Roman"/>
          <w:b/>
          <w:bCs/>
          <w:sz w:val="24"/>
          <w:szCs w:val="24"/>
        </w:rPr>
        <w:t>CRC Form:</w:t>
      </w:r>
    </w:p>
    <w:p w14:paraId="0AA8ECA6" w14:textId="742E747D" w:rsidR="002168C7" w:rsidRPr="002168C7" w:rsidRDefault="002168C7" w:rsidP="002168C7">
      <w:pPr>
        <w:shd w:val="clear" w:color="auto" w:fill="FFFFFF"/>
        <w:spacing w:after="0" w:line="240" w:lineRule="auto"/>
        <w:ind w:left="360"/>
        <w:jc w:val="both"/>
        <w:rPr>
          <w:rFonts w:ascii="Times New Roman" w:eastAsia="Times New Roman" w:hAnsi="Times New Roman" w:cs="Times New Roman"/>
          <w:sz w:val="24"/>
          <w:szCs w:val="24"/>
        </w:rPr>
      </w:pPr>
      <w:r w:rsidRPr="002168C7">
        <w:rPr>
          <w:rFonts w:ascii="Times New Roman" w:eastAsia="Times New Roman" w:hAnsi="Times New Roman" w:cs="Times New Roman"/>
          <w:sz w:val="24"/>
          <w:szCs w:val="24"/>
        </w:rPr>
        <w:t>To request that the CRC IRB serve as the reviewing or relying IRB, CRC Investigators must submit the “</w:t>
      </w:r>
      <w:r>
        <w:rPr>
          <w:rFonts w:ascii="Times New Roman" w:eastAsia="Times New Roman" w:hAnsi="Times New Roman" w:cs="Times New Roman"/>
          <w:sz w:val="24"/>
          <w:szCs w:val="24"/>
        </w:rPr>
        <w:t xml:space="preserve">CRC </w:t>
      </w:r>
      <w:r w:rsidRPr="002168C7">
        <w:rPr>
          <w:rFonts w:ascii="Times New Roman" w:eastAsia="Times New Roman" w:hAnsi="Times New Roman" w:cs="Times New Roman"/>
          <w:sz w:val="24"/>
          <w:szCs w:val="24"/>
        </w:rPr>
        <w:t xml:space="preserve">Single IRB Review Request Form”. This form may be found on the </w:t>
      </w:r>
      <w:hyperlink r:id="rId6" w:anchor="reliance-agreements-for-multisite-studies" w:history="1">
        <w:r w:rsidRPr="002168C7">
          <w:rPr>
            <w:rStyle w:val="Hyperlink"/>
            <w:rFonts w:ascii="Times New Roman" w:eastAsia="Times New Roman" w:hAnsi="Times New Roman" w:cs="Times New Roman"/>
            <w:sz w:val="24"/>
            <w:szCs w:val="24"/>
          </w:rPr>
          <w:t>CRC IRB website.</w:t>
        </w:r>
      </w:hyperlink>
      <w:r w:rsidRPr="002168C7">
        <w:rPr>
          <w:rFonts w:ascii="Times New Roman" w:eastAsia="Times New Roman" w:hAnsi="Times New Roman" w:cs="Times New Roman"/>
          <w:sz w:val="24"/>
          <w:szCs w:val="24"/>
        </w:rPr>
        <w:t xml:space="preserve"> </w:t>
      </w:r>
    </w:p>
    <w:bookmarkEnd w:id="0"/>
    <w:p w14:paraId="180EFF7A" w14:textId="126BBCB2" w:rsidR="000C36F9" w:rsidRDefault="000C36F9" w:rsidP="002168C7">
      <w:pPr>
        <w:shd w:val="clear" w:color="auto" w:fill="FFFFFF"/>
        <w:spacing w:after="0" w:line="240" w:lineRule="auto"/>
        <w:jc w:val="both"/>
        <w:rPr>
          <w:rFonts w:ascii="Times New Roman" w:eastAsia="Times New Roman" w:hAnsi="Times New Roman" w:cs="Times New Roman"/>
          <w:sz w:val="24"/>
          <w:szCs w:val="24"/>
        </w:rPr>
      </w:pPr>
    </w:p>
    <w:p w14:paraId="7EA994B4" w14:textId="77777777" w:rsidR="00566C63" w:rsidRPr="00566C63" w:rsidRDefault="00566C63" w:rsidP="00566C63">
      <w:pPr>
        <w:pStyle w:val="ListParagraph"/>
        <w:numPr>
          <w:ilvl w:val="0"/>
          <w:numId w:val="22"/>
        </w:numPr>
        <w:shd w:val="clear" w:color="auto" w:fill="FFFFFF"/>
        <w:spacing w:after="0" w:line="240" w:lineRule="auto"/>
        <w:ind w:left="360"/>
        <w:jc w:val="both"/>
        <w:rPr>
          <w:rFonts w:ascii="Times New Roman" w:eastAsia="Times New Roman" w:hAnsi="Times New Roman" w:cs="Times New Roman"/>
          <w:b/>
          <w:bCs/>
          <w:sz w:val="24"/>
          <w:szCs w:val="24"/>
        </w:rPr>
      </w:pPr>
      <w:r w:rsidRPr="00566C63">
        <w:rPr>
          <w:rFonts w:ascii="Times New Roman" w:eastAsia="Times New Roman" w:hAnsi="Times New Roman" w:cs="Times New Roman"/>
          <w:b/>
          <w:bCs/>
          <w:sz w:val="24"/>
          <w:szCs w:val="24"/>
        </w:rPr>
        <w:t xml:space="preserve">Reliance Agreements: </w:t>
      </w:r>
    </w:p>
    <w:p w14:paraId="77C370A7" w14:textId="77777777" w:rsidR="00566C63" w:rsidRDefault="000C36F9" w:rsidP="00566C63">
      <w:pPr>
        <w:pStyle w:val="ListParagraph"/>
        <w:numPr>
          <w:ilvl w:val="0"/>
          <w:numId w:val="24"/>
        </w:numPr>
        <w:shd w:val="clear" w:color="auto" w:fill="FFFFFF"/>
        <w:spacing w:after="0" w:line="240" w:lineRule="auto"/>
        <w:ind w:left="720"/>
        <w:jc w:val="both"/>
        <w:rPr>
          <w:rFonts w:ascii="Times New Roman" w:eastAsia="Times New Roman" w:hAnsi="Times New Roman" w:cs="Times New Roman"/>
          <w:sz w:val="24"/>
          <w:szCs w:val="24"/>
        </w:rPr>
      </w:pPr>
      <w:r w:rsidRPr="00566C63">
        <w:rPr>
          <w:rFonts w:ascii="Times New Roman" w:eastAsia="Times New Roman" w:hAnsi="Times New Roman" w:cs="Times New Roman"/>
          <w:sz w:val="24"/>
          <w:szCs w:val="24"/>
        </w:rPr>
        <w:t xml:space="preserve">In addition to submitting the above noted forms to the CRC IRB, the request must be entered into </w:t>
      </w:r>
      <w:hyperlink r:id="rId7" w:history="1">
        <w:r w:rsidRPr="00566C63">
          <w:rPr>
            <w:rStyle w:val="Hyperlink"/>
            <w:rFonts w:ascii="Times New Roman" w:eastAsia="Times New Roman" w:hAnsi="Times New Roman" w:cs="Times New Roman"/>
            <w:sz w:val="24"/>
            <w:szCs w:val="24"/>
          </w:rPr>
          <w:t>SMART IRB</w:t>
        </w:r>
      </w:hyperlink>
      <w:r w:rsidRPr="00566C63">
        <w:rPr>
          <w:rFonts w:ascii="Times New Roman" w:eastAsia="Times New Roman" w:hAnsi="Times New Roman" w:cs="Times New Roman"/>
          <w:sz w:val="24"/>
          <w:szCs w:val="24"/>
        </w:rPr>
        <w:t xml:space="preserve">. </w:t>
      </w:r>
      <w:r w:rsidR="00684852" w:rsidRPr="00566C63">
        <w:rPr>
          <w:rFonts w:ascii="Times New Roman" w:eastAsia="Times New Roman" w:hAnsi="Times New Roman" w:cs="Times New Roman"/>
          <w:sz w:val="24"/>
          <w:szCs w:val="24"/>
        </w:rPr>
        <w:t xml:space="preserve">SMART IRB is a platform that serves as both an IRB reliance </w:t>
      </w:r>
      <w:r w:rsidR="00684852" w:rsidRPr="00566C63">
        <w:rPr>
          <w:rFonts w:ascii="Times New Roman" w:eastAsia="Times New Roman" w:hAnsi="Times New Roman" w:cs="Times New Roman"/>
          <w:sz w:val="24"/>
          <w:szCs w:val="24"/>
        </w:rPr>
        <w:lastRenderedPageBreak/>
        <w:t xml:space="preserve">agreement between reviewing and relying institutions, and a web-based system for investigators to request, track, and document study-specific reliance arrangements. The use of SMART IRB is required when both </w:t>
      </w:r>
      <w:r w:rsidR="00566C63" w:rsidRPr="00566C63">
        <w:rPr>
          <w:rFonts w:ascii="Times New Roman" w:eastAsia="Times New Roman" w:hAnsi="Times New Roman" w:cs="Times New Roman"/>
          <w:sz w:val="24"/>
          <w:szCs w:val="24"/>
        </w:rPr>
        <w:t xml:space="preserve">relying and reviewing </w:t>
      </w:r>
      <w:r w:rsidR="00684852" w:rsidRPr="00566C63">
        <w:rPr>
          <w:rFonts w:ascii="Times New Roman" w:eastAsia="Times New Roman" w:hAnsi="Times New Roman" w:cs="Times New Roman"/>
          <w:sz w:val="24"/>
          <w:szCs w:val="24"/>
        </w:rPr>
        <w:t xml:space="preserve">institutions are signatories of this system. </w:t>
      </w:r>
    </w:p>
    <w:p w14:paraId="12EA5564" w14:textId="77777777" w:rsidR="009E603F" w:rsidRDefault="00684852" w:rsidP="009E603F">
      <w:pPr>
        <w:pStyle w:val="ListParagraph"/>
        <w:numPr>
          <w:ilvl w:val="0"/>
          <w:numId w:val="24"/>
        </w:numPr>
        <w:shd w:val="clear" w:color="auto" w:fill="FFFFFF"/>
        <w:spacing w:after="0" w:line="240" w:lineRule="auto"/>
        <w:ind w:left="720"/>
        <w:jc w:val="both"/>
        <w:rPr>
          <w:rFonts w:ascii="Times New Roman" w:eastAsia="Times New Roman" w:hAnsi="Times New Roman" w:cs="Times New Roman"/>
          <w:sz w:val="24"/>
          <w:szCs w:val="24"/>
        </w:rPr>
      </w:pPr>
      <w:r w:rsidRPr="00566C63">
        <w:rPr>
          <w:rFonts w:ascii="Times New Roman" w:eastAsia="Times New Roman" w:hAnsi="Times New Roman" w:cs="Times New Roman"/>
          <w:sz w:val="24"/>
          <w:szCs w:val="24"/>
        </w:rPr>
        <w:t xml:space="preserve">If an institution is not a signatory of SMART IRB, an IRB Authorization Agreement may be used. </w:t>
      </w:r>
      <w:r w:rsidR="00566C63">
        <w:rPr>
          <w:rFonts w:ascii="Times New Roman" w:eastAsia="Times New Roman" w:hAnsi="Times New Roman" w:cs="Times New Roman"/>
          <w:sz w:val="24"/>
          <w:szCs w:val="24"/>
        </w:rPr>
        <w:t>The CRC maintains a template that should be used, though this may be negotiated between the reviewing and relying IRBs. If the CRC template will not be used or if it will be modified, the CRC IRB Director should be notified</w:t>
      </w:r>
      <w:r w:rsidR="009E603F">
        <w:rPr>
          <w:rFonts w:ascii="Times New Roman" w:eastAsia="Times New Roman" w:hAnsi="Times New Roman" w:cs="Times New Roman"/>
          <w:sz w:val="24"/>
          <w:szCs w:val="24"/>
        </w:rPr>
        <w:t xml:space="preserve">. </w:t>
      </w:r>
    </w:p>
    <w:p w14:paraId="7F96458C" w14:textId="25644651" w:rsidR="00684852" w:rsidRPr="009E603F" w:rsidRDefault="001A30EE" w:rsidP="009E603F">
      <w:pPr>
        <w:pStyle w:val="ListParagraph"/>
        <w:numPr>
          <w:ilvl w:val="0"/>
          <w:numId w:val="24"/>
        </w:numPr>
        <w:shd w:val="clear" w:color="auto" w:fill="FFFFFF"/>
        <w:spacing w:after="0" w:line="240" w:lineRule="auto"/>
        <w:ind w:left="720"/>
        <w:jc w:val="both"/>
        <w:rPr>
          <w:rFonts w:ascii="Times New Roman" w:eastAsia="Times New Roman" w:hAnsi="Times New Roman" w:cs="Times New Roman"/>
          <w:sz w:val="24"/>
          <w:szCs w:val="24"/>
        </w:rPr>
      </w:pPr>
      <w:r w:rsidRPr="009E603F">
        <w:rPr>
          <w:rFonts w:ascii="Times New Roman" w:eastAsia="Times New Roman" w:hAnsi="Times New Roman" w:cs="Times New Roman"/>
          <w:sz w:val="24"/>
          <w:szCs w:val="24"/>
        </w:rPr>
        <w:t xml:space="preserve">The Institutional Official has designated the signing authority of reliance agreements to the IRB Office. The IRB is responsible for reviewing, facilitating, and maintaining IRB reliance agreements. The IRB will consult with the Institutional Official and/or General Counsel as necessary. </w:t>
      </w:r>
    </w:p>
    <w:p w14:paraId="1011A8DF" w14:textId="108824D8" w:rsidR="00165234" w:rsidRDefault="00165234" w:rsidP="00684852">
      <w:pPr>
        <w:shd w:val="clear" w:color="auto" w:fill="FFFFFF"/>
        <w:spacing w:after="0" w:line="240" w:lineRule="auto"/>
        <w:jc w:val="both"/>
        <w:rPr>
          <w:rFonts w:ascii="Times New Roman" w:eastAsia="Times New Roman" w:hAnsi="Times New Roman" w:cs="Times New Roman"/>
          <w:sz w:val="24"/>
          <w:szCs w:val="24"/>
        </w:rPr>
      </w:pPr>
    </w:p>
    <w:p w14:paraId="4651D893" w14:textId="77777777" w:rsidR="009E603F" w:rsidRPr="009E603F" w:rsidRDefault="009E603F" w:rsidP="009E603F">
      <w:pPr>
        <w:pStyle w:val="ListParagraph"/>
        <w:numPr>
          <w:ilvl w:val="0"/>
          <w:numId w:val="22"/>
        </w:numPr>
        <w:shd w:val="clear" w:color="auto" w:fill="FFFFFF"/>
        <w:spacing w:after="0" w:line="240" w:lineRule="auto"/>
        <w:ind w:left="360"/>
        <w:jc w:val="both"/>
        <w:rPr>
          <w:rFonts w:ascii="Times New Roman" w:eastAsia="Times New Roman" w:hAnsi="Times New Roman" w:cs="Times New Roman"/>
          <w:b/>
          <w:bCs/>
          <w:sz w:val="24"/>
          <w:szCs w:val="24"/>
        </w:rPr>
      </w:pPr>
      <w:r w:rsidRPr="009E603F">
        <w:rPr>
          <w:rFonts w:ascii="Times New Roman" w:eastAsia="Times New Roman" w:hAnsi="Times New Roman" w:cs="Times New Roman"/>
          <w:b/>
          <w:bCs/>
          <w:sz w:val="24"/>
          <w:szCs w:val="24"/>
        </w:rPr>
        <w:t xml:space="preserve">IRB Office Process: </w:t>
      </w:r>
    </w:p>
    <w:p w14:paraId="28353C3F" w14:textId="3A166F81" w:rsidR="00013AC8" w:rsidRDefault="00165234" w:rsidP="00013AC8">
      <w:pPr>
        <w:pStyle w:val="ListParagraph"/>
        <w:numPr>
          <w:ilvl w:val="0"/>
          <w:numId w:val="25"/>
        </w:numPr>
        <w:shd w:val="clear" w:color="auto" w:fill="FFFFFF"/>
        <w:spacing w:after="0" w:line="240" w:lineRule="auto"/>
        <w:jc w:val="both"/>
        <w:rPr>
          <w:rFonts w:ascii="Times New Roman" w:eastAsia="Times New Roman" w:hAnsi="Times New Roman" w:cs="Times New Roman"/>
          <w:sz w:val="24"/>
          <w:szCs w:val="24"/>
        </w:rPr>
      </w:pPr>
      <w:r w:rsidRPr="009E603F">
        <w:rPr>
          <w:rFonts w:ascii="Times New Roman" w:eastAsia="Times New Roman" w:hAnsi="Times New Roman" w:cs="Times New Roman"/>
          <w:sz w:val="24"/>
          <w:szCs w:val="24"/>
        </w:rPr>
        <w:t xml:space="preserve">Once the </w:t>
      </w:r>
      <w:r w:rsidR="00013AC8">
        <w:rPr>
          <w:rFonts w:ascii="Times New Roman" w:eastAsia="Times New Roman" w:hAnsi="Times New Roman" w:cs="Times New Roman"/>
          <w:sz w:val="24"/>
          <w:szCs w:val="24"/>
        </w:rPr>
        <w:t>Single IRB A</w:t>
      </w:r>
      <w:r w:rsidR="009E603F">
        <w:rPr>
          <w:rFonts w:ascii="Times New Roman" w:eastAsia="Times New Roman" w:hAnsi="Times New Roman" w:cs="Times New Roman"/>
          <w:sz w:val="24"/>
          <w:szCs w:val="24"/>
        </w:rPr>
        <w:t>pplication has been</w:t>
      </w:r>
      <w:r w:rsidRPr="009E603F">
        <w:rPr>
          <w:rFonts w:ascii="Times New Roman" w:eastAsia="Times New Roman" w:hAnsi="Times New Roman" w:cs="Times New Roman"/>
          <w:sz w:val="24"/>
          <w:szCs w:val="24"/>
        </w:rPr>
        <w:t xml:space="preserve"> </w:t>
      </w:r>
      <w:r w:rsidR="00013AC8">
        <w:rPr>
          <w:rFonts w:ascii="Times New Roman" w:eastAsia="Times New Roman" w:hAnsi="Times New Roman" w:cs="Times New Roman"/>
          <w:sz w:val="24"/>
          <w:szCs w:val="24"/>
        </w:rPr>
        <w:t>received</w:t>
      </w:r>
      <w:r w:rsidRPr="009E603F">
        <w:rPr>
          <w:rFonts w:ascii="Times New Roman" w:eastAsia="Times New Roman" w:hAnsi="Times New Roman" w:cs="Times New Roman"/>
          <w:sz w:val="24"/>
          <w:szCs w:val="24"/>
        </w:rPr>
        <w:t xml:space="preserve"> by the CRC Office, the</w:t>
      </w:r>
      <w:r w:rsidR="001A30EE" w:rsidRPr="009E603F">
        <w:rPr>
          <w:rFonts w:ascii="Times New Roman" w:eastAsia="Times New Roman" w:hAnsi="Times New Roman" w:cs="Times New Roman"/>
          <w:sz w:val="24"/>
          <w:szCs w:val="24"/>
        </w:rPr>
        <w:t xml:space="preserve"> IRB Coordinator will log it in to the IRB database</w:t>
      </w:r>
      <w:r w:rsidR="009E603F">
        <w:rPr>
          <w:rFonts w:ascii="Times New Roman" w:eastAsia="Times New Roman" w:hAnsi="Times New Roman" w:cs="Times New Roman"/>
          <w:sz w:val="24"/>
          <w:szCs w:val="24"/>
        </w:rPr>
        <w:t>, assign it a protocol number (if it does not have one already)</w:t>
      </w:r>
      <w:r w:rsidR="001A30EE" w:rsidRPr="009E603F">
        <w:rPr>
          <w:rFonts w:ascii="Times New Roman" w:eastAsia="Times New Roman" w:hAnsi="Times New Roman" w:cs="Times New Roman"/>
          <w:sz w:val="24"/>
          <w:szCs w:val="24"/>
        </w:rPr>
        <w:t xml:space="preserve"> and provide a copy of the application to the IRB Analyst and/or IRB Reliance Specialist. </w:t>
      </w:r>
    </w:p>
    <w:p w14:paraId="0D0B46BD" w14:textId="4B6A0D41" w:rsidR="001A30EE" w:rsidRDefault="00013AC8" w:rsidP="00013AC8">
      <w:pPr>
        <w:pStyle w:val="ListParagraph"/>
        <w:numPr>
          <w:ilvl w:val="0"/>
          <w:numId w:val="25"/>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the CRC is the reviewing IRB, the IRB Analyst will review the protocol per usual procedures, and the IRB Reliance Specialist will manage the reliance process with the CRC Investigator and the reviewing IRB. </w:t>
      </w:r>
    </w:p>
    <w:p w14:paraId="63EE33E5" w14:textId="319D8C63" w:rsidR="00013AC8" w:rsidRDefault="00013AC8" w:rsidP="00013AC8">
      <w:pPr>
        <w:pStyle w:val="ListParagraph"/>
        <w:numPr>
          <w:ilvl w:val="0"/>
          <w:numId w:val="25"/>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the CRC is the relying IRB, the IRB Reliance Specialist will manage the process with the CRC Investigator and the reviewing IRB. </w:t>
      </w:r>
    </w:p>
    <w:p w14:paraId="041F7D1F" w14:textId="0207821B" w:rsidR="008605E6" w:rsidRPr="009E603F" w:rsidRDefault="008605E6" w:rsidP="00013AC8">
      <w:pPr>
        <w:pStyle w:val="ListParagraph"/>
        <w:numPr>
          <w:ilvl w:val="0"/>
          <w:numId w:val="25"/>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IRB Analyst and/or IRB Reliance Specialist will document reviewing or relying status of the CRC IRB. </w:t>
      </w:r>
    </w:p>
    <w:p w14:paraId="5D84506F" w14:textId="77777777" w:rsidR="001A30EE" w:rsidRDefault="001A30EE" w:rsidP="004F591C">
      <w:pPr>
        <w:shd w:val="clear" w:color="auto" w:fill="FFFFFF"/>
        <w:spacing w:after="0" w:line="240" w:lineRule="auto"/>
        <w:jc w:val="both"/>
        <w:rPr>
          <w:rFonts w:ascii="Times New Roman" w:eastAsia="Times New Roman" w:hAnsi="Times New Roman" w:cs="Times New Roman"/>
          <w:sz w:val="24"/>
          <w:szCs w:val="24"/>
        </w:rPr>
      </w:pPr>
    </w:p>
    <w:p w14:paraId="4C448995" w14:textId="77777777" w:rsidR="0021783C" w:rsidRPr="004F591C" w:rsidRDefault="0021783C" w:rsidP="004F591C">
      <w:pPr>
        <w:shd w:val="clear" w:color="auto" w:fill="FFFFFF"/>
        <w:spacing w:after="0" w:line="240" w:lineRule="auto"/>
        <w:jc w:val="both"/>
        <w:rPr>
          <w:rFonts w:ascii="Times New Roman" w:eastAsia="Times New Roman" w:hAnsi="Times New Roman" w:cs="Times New Roman"/>
          <w:b/>
          <w:bCs/>
          <w:sz w:val="24"/>
          <w:szCs w:val="24"/>
        </w:rPr>
      </w:pPr>
    </w:p>
    <w:p w14:paraId="533BB91D" w14:textId="7EEBF35A" w:rsidR="008A4D84" w:rsidRPr="004F591C" w:rsidRDefault="008A4D84" w:rsidP="00566C63">
      <w:pPr>
        <w:shd w:val="clear" w:color="auto" w:fill="FFFFFF"/>
        <w:spacing w:after="0" w:line="240" w:lineRule="auto"/>
        <w:jc w:val="both"/>
        <w:rPr>
          <w:rFonts w:ascii="Times New Roman" w:eastAsia="Times New Roman" w:hAnsi="Times New Roman" w:cs="Times New Roman"/>
          <w:sz w:val="24"/>
          <w:szCs w:val="24"/>
        </w:rPr>
      </w:pPr>
    </w:p>
    <w:p w14:paraId="6209A626" w14:textId="5D63791B" w:rsidR="0021783C" w:rsidRDefault="007258EF" w:rsidP="004F591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Author: Mary McCabe, Pamela Richmond</w:t>
      </w:r>
    </w:p>
    <w:p w14:paraId="20947F03" w14:textId="1E38F562" w:rsidR="00516AC6" w:rsidRDefault="007258EF" w:rsidP="004F591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Date: 6/29/20</w:t>
      </w:r>
    </w:p>
    <w:p w14:paraId="10FA4507" w14:textId="024797BE" w:rsidR="007258EF" w:rsidRPr="004F591C" w:rsidRDefault="007258EF" w:rsidP="004F591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Approved</w:t>
      </w:r>
      <w:bookmarkStart w:id="1" w:name="_GoBack"/>
      <w:bookmarkEnd w:id="1"/>
      <w:r>
        <w:rPr>
          <w:rFonts w:ascii="Times New Roman" w:hAnsi="Times New Roman" w:cs="Times New Roman"/>
          <w:sz w:val="24"/>
          <w:szCs w:val="24"/>
        </w:rPr>
        <w:t xml:space="preserve">: </w:t>
      </w:r>
      <w:r w:rsidRPr="007258EF">
        <w:rPr>
          <w:rFonts w:ascii="Times New Roman" w:hAnsi="Times New Roman" w:cs="Times New Roman"/>
          <w:sz w:val="24"/>
          <w:szCs w:val="24"/>
          <w:shd w:val="clear" w:color="auto" w:fill="FFFFFF"/>
        </w:rPr>
        <w:t>CRC IRB, Kathryn Mellouk, Institutional Official</w:t>
      </w:r>
    </w:p>
    <w:sectPr w:rsidR="007258EF" w:rsidRPr="004F59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835F7"/>
    <w:multiLevelType w:val="multilevel"/>
    <w:tmpl w:val="2708A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0F55F3"/>
    <w:multiLevelType w:val="hybridMultilevel"/>
    <w:tmpl w:val="1BB8E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EA3FE6"/>
    <w:multiLevelType w:val="hybridMultilevel"/>
    <w:tmpl w:val="5462A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F92F17"/>
    <w:multiLevelType w:val="hybridMultilevel"/>
    <w:tmpl w:val="71D0BE6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E366E01"/>
    <w:multiLevelType w:val="multilevel"/>
    <w:tmpl w:val="B0ECD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436224"/>
    <w:multiLevelType w:val="hybridMultilevel"/>
    <w:tmpl w:val="B19057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74443B"/>
    <w:multiLevelType w:val="hybridMultilevel"/>
    <w:tmpl w:val="835024F2"/>
    <w:lvl w:ilvl="0" w:tplc="5A6E86BE">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AA30EBE"/>
    <w:multiLevelType w:val="hybridMultilevel"/>
    <w:tmpl w:val="856270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C940C5F"/>
    <w:multiLevelType w:val="multilevel"/>
    <w:tmpl w:val="821A98F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 w15:restartNumberingAfterBreak="0">
    <w:nsid w:val="1C952630"/>
    <w:multiLevelType w:val="hybridMultilevel"/>
    <w:tmpl w:val="85128300"/>
    <w:lvl w:ilvl="0" w:tplc="5A6E86BE">
      <w:numFmt w:val="bullet"/>
      <w:lvlText w:val="•"/>
      <w:lvlJc w:val="left"/>
      <w:pPr>
        <w:ind w:left="720" w:hanging="360"/>
      </w:pPr>
      <w:rPr>
        <w:rFonts w:ascii="Times New Roman" w:eastAsiaTheme="minorHAnsi" w:hAnsi="Times New Roman" w:cs="Times New Roman" w:hint="default"/>
      </w:rPr>
    </w:lvl>
    <w:lvl w:ilvl="1" w:tplc="04090005">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FC57C16"/>
    <w:multiLevelType w:val="hybridMultilevel"/>
    <w:tmpl w:val="3B6032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BFE5CA2"/>
    <w:multiLevelType w:val="hybridMultilevel"/>
    <w:tmpl w:val="6446699A"/>
    <w:lvl w:ilvl="0" w:tplc="6268C238">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FC83E3B"/>
    <w:multiLevelType w:val="hybridMultilevel"/>
    <w:tmpl w:val="2D2E9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E03A2A"/>
    <w:multiLevelType w:val="hybridMultilevel"/>
    <w:tmpl w:val="441EAC4C"/>
    <w:lvl w:ilvl="0" w:tplc="6268C238">
      <w:numFmt w:val="bullet"/>
      <w:lvlText w:val="•"/>
      <w:lvlJc w:val="left"/>
      <w:pPr>
        <w:ind w:left="36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A9056C"/>
    <w:multiLevelType w:val="hybridMultilevel"/>
    <w:tmpl w:val="7C2AD688"/>
    <w:lvl w:ilvl="0" w:tplc="6268C23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AE3E41"/>
    <w:multiLevelType w:val="hybridMultilevel"/>
    <w:tmpl w:val="19AEA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415010"/>
    <w:multiLevelType w:val="hybridMultilevel"/>
    <w:tmpl w:val="E2B4BCD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7D575B6"/>
    <w:multiLevelType w:val="multilevel"/>
    <w:tmpl w:val="49B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A6748C"/>
    <w:multiLevelType w:val="hybridMultilevel"/>
    <w:tmpl w:val="EE1AF97E"/>
    <w:lvl w:ilvl="0" w:tplc="6268C238">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6A2C49"/>
    <w:multiLevelType w:val="hybridMultilevel"/>
    <w:tmpl w:val="553E8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89F21D3"/>
    <w:multiLevelType w:val="multilevel"/>
    <w:tmpl w:val="AB3A5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8342B6"/>
    <w:multiLevelType w:val="hybridMultilevel"/>
    <w:tmpl w:val="F170D5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BFF0FCA"/>
    <w:multiLevelType w:val="hybridMultilevel"/>
    <w:tmpl w:val="BFD8375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126475"/>
    <w:multiLevelType w:val="hybridMultilevel"/>
    <w:tmpl w:val="5B2E455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F494D34"/>
    <w:multiLevelType w:val="hybridMultilevel"/>
    <w:tmpl w:val="08CA858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360" w:hanging="360"/>
      </w:pPr>
      <w:rPr>
        <w:rFonts w:ascii="Courier New" w:hAnsi="Courier New" w:cs="Courier New" w:hint="default"/>
      </w:rPr>
    </w:lvl>
    <w:lvl w:ilvl="2" w:tplc="04090005">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5" w15:restartNumberingAfterBreak="0">
    <w:nsid w:val="654854BE"/>
    <w:multiLevelType w:val="hybridMultilevel"/>
    <w:tmpl w:val="73BA46D0"/>
    <w:lvl w:ilvl="0" w:tplc="5A6E86BE">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EE0D7C"/>
    <w:multiLevelType w:val="hybridMultilevel"/>
    <w:tmpl w:val="E00E0388"/>
    <w:lvl w:ilvl="0" w:tplc="6268C23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D790D3E"/>
    <w:multiLevelType w:val="multilevel"/>
    <w:tmpl w:val="61402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731616"/>
    <w:multiLevelType w:val="hybridMultilevel"/>
    <w:tmpl w:val="A566C9D0"/>
    <w:lvl w:ilvl="0" w:tplc="5A6E86BE">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719661B9"/>
    <w:multiLevelType w:val="hybridMultilevel"/>
    <w:tmpl w:val="88300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735BB4"/>
    <w:multiLevelType w:val="hybridMultilevel"/>
    <w:tmpl w:val="BF106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D81249D"/>
    <w:multiLevelType w:val="hybridMultilevel"/>
    <w:tmpl w:val="C6681B5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0"/>
  </w:num>
  <w:num w:numId="3">
    <w:abstractNumId w:val="17"/>
  </w:num>
  <w:num w:numId="4">
    <w:abstractNumId w:val="27"/>
  </w:num>
  <w:num w:numId="5">
    <w:abstractNumId w:val="0"/>
  </w:num>
  <w:num w:numId="6">
    <w:abstractNumId w:val="16"/>
  </w:num>
  <w:num w:numId="7">
    <w:abstractNumId w:val="21"/>
  </w:num>
  <w:num w:numId="8">
    <w:abstractNumId w:val="30"/>
  </w:num>
  <w:num w:numId="9">
    <w:abstractNumId w:val="12"/>
  </w:num>
  <w:num w:numId="10">
    <w:abstractNumId w:val="24"/>
  </w:num>
  <w:num w:numId="11">
    <w:abstractNumId w:val="8"/>
  </w:num>
  <w:num w:numId="12">
    <w:abstractNumId w:val="1"/>
  </w:num>
  <w:num w:numId="13">
    <w:abstractNumId w:val="19"/>
  </w:num>
  <w:num w:numId="14">
    <w:abstractNumId w:val="11"/>
  </w:num>
  <w:num w:numId="15">
    <w:abstractNumId w:val="18"/>
  </w:num>
  <w:num w:numId="16">
    <w:abstractNumId w:val="28"/>
  </w:num>
  <w:num w:numId="17">
    <w:abstractNumId w:val="25"/>
  </w:num>
  <w:num w:numId="18">
    <w:abstractNumId w:val="6"/>
  </w:num>
  <w:num w:numId="19">
    <w:abstractNumId w:val="22"/>
  </w:num>
  <w:num w:numId="20">
    <w:abstractNumId w:val="5"/>
  </w:num>
  <w:num w:numId="21">
    <w:abstractNumId w:val="29"/>
  </w:num>
  <w:num w:numId="22">
    <w:abstractNumId w:val="2"/>
  </w:num>
  <w:num w:numId="23">
    <w:abstractNumId w:val="7"/>
  </w:num>
  <w:num w:numId="24">
    <w:abstractNumId w:val="10"/>
  </w:num>
  <w:num w:numId="25">
    <w:abstractNumId w:val="15"/>
  </w:num>
  <w:num w:numId="26">
    <w:abstractNumId w:val="13"/>
  </w:num>
  <w:num w:numId="27">
    <w:abstractNumId w:val="3"/>
  </w:num>
  <w:num w:numId="28">
    <w:abstractNumId w:val="31"/>
  </w:num>
  <w:num w:numId="29">
    <w:abstractNumId w:val="26"/>
  </w:num>
  <w:num w:numId="30">
    <w:abstractNumId w:val="23"/>
  </w:num>
  <w:num w:numId="31">
    <w:abstractNumId w:val="9"/>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D84"/>
    <w:rsid w:val="00013AC8"/>
    <w:rsid w:val="000509D0"/>
    <w:rsid w:val="00053BB2"/>
    <w:rsid w:val="000553E2"/>
    <w:rsid w:val="00062338"/>
    <w:rsid w:val="000A4C83"/>
    <w:rsid w:val="000A5213"/>
    <w:rsid w:val="000B2DF5"/>
    <w:rsid w:val="000C36F9"/>
    <w:rsid w:val="001038D9"/>
    <w:rsid w:val="00137696"/>
    <w:rsid w:val="00157B76"/>
    <w:rsid w:val="00165234"/>
    <w:rsid w:val="0017442C"/>
    <w:rsid w:val="001A30EE"/>
    <w:rsid w:val="001A73A0"/>
    <w:rsid w:val="001D0CC7"/>
    <w:rsid w:val="001D5B9C"/>
    <w:rsid w:val="001E28BE"/>
    <w:rsid w:val="001E2B73"/>
    <w:rsid w:val="002168C7"/>
    <w:rsid w:val="0021783C"/>
    <w:rsid w:val="00266465"/>
    <w:rsid w:val="002678E8"/>
    <w:rsid w:val="00275E89"/>
    <w:rsid w:val="002870C9"/>
    <w:rsid w:val="00292CB0"/>
    <w:rsid w:val="002D5932"/>
    <w:rsid w:val="003508A1"/>
    <w:rsid w:val="003A5916"/>
    <w:rsid w:val="003B26DA"/>
    <w:rsid w:val="0040197C"/>
    <w:rsid w:val="00433B69"/>
    <w:rsid w:val="004368CB"/>
    <w:rsid w:val="00451FA5"/>
    <w:rsid w:val="00475B72"/>
    <w:rsid w:val="004D2D52"/>
    <w:rsid w:val="004F591C"/>
    <w:rsid w:val="00516AC6"/>
    <w:rsid w:val="005344FA"/>
    <w:rsid w:val="00541302"/>
    <w:rsid w:val="00566C63"/>
    <w:rsid w:val="00653637"/>
    <w:rsid w:val="00684852"/>
    <w:rsid w:val="00693A80"/>
    <w:rsid w:val="006A47EB"/>
    <w:rsid w:val="006B13AE"/>
    <w:rsid w:val="006C0DDB"/>
    <w:rsid w:val="006F488A"/>
    <w:rsid w:val="006F5427"/>
    <w:rsid w:val="007258EF"/>
    <w:rsid w:val="0075110A"/>
    <w:rsid w:val="00773101"/>
    <w:rsid w:val="007D79B1"/>
    <w:rsid w:val="00814675"/>
    <w:rsid w:val="00850581"/>
    <w:rsid w:val="008605E6"/>
    <w:rsid w:val="00870E56"/>
    <w:rsid w:val="008A4D84"/>
    <w:rsid w:val="008B718F"/>
    <w:rsid w:val="008F0C54"/>
    <w:rsid w:val="0090237F"/>
    <w:rsid w:val="009175B1"/>
    <w:rsid w:val="009529D2"/>
    <w:rsid w:val="00954985"/>
    <w:rsid w:val="009639C3"/>
    <w:rsid w:val="009C49FA"/>
    <w:rsid w:val="009C4E56"/>
    <w:rsid w:val="009E603F"/>
    <w:rsid w:val="009F5005"/>
    <w:rsid w:val="00A20FA3"/>
    <w:rsid w:val="00A37675"/>
    <w:rsid w:val="00A4221E"/>
    <w:rsid w:val="00A532B0"/>
    <w:rsid w:val="00A73613"/>
    <w:rsid w:val="00AF1BDF"/>
    <w:rsid w:val="00BA61F2"/>
    <w:rsid w:val="00BA64A1"/>
    <w:rsid w:val="00BC4E14"/>
    <w:rsid w:val="00BE05DE"/>
    <w:rsid w:val="00BF7312"/>
    <w:rsid w:val="00C25D89"/>
    <w:rsid w:val="00C314AD"/>
    <w:rsid w:val="00C70BB7"/>
    <w:rsid w:val="00C80FD5"/>
    <w:rsid w:val="00C81162"/>
    <w:rsid w:val="00CB62DB"/>
    <w:rsid w:val="00CB6C03"/>
    <w:rsid w:val="00CC0023"/>
    <w:rsid w:val="00D33290"/>
    <w:rsid w:val="00D34B67"/>
    <w:rsid w:val="00D44F81"/>
    <w:rsid w:val="00D60D98"/>
    <w:rsid w:val="00D9601D"/>
    <w:rsid w:val="00DC7CC9"/>
    <w:rsid w:val="00E00CA2"/>
    <w:rsid w:val="00E03376"/>
    <w:rsid w:val="00E07ADD"/>
    <w:rsid w:val="00E161BF"/>
    <w:rsid w:val="00E21DB6"/>
    <w:rsid w:val="00E42F8F"/>
    <w:rsid w:val="00EC77BE"/>
    <w:rsid w:val="00EF1ABA"/>
    <w:rsid w:val="00F1038C"/>
    <w:rsid w:val="00F314BB"/>
    <w:rsid w:val="00F3500C"/>
    <w:rsid w:val="00F4736B"/>
    <w:rsid w:val="00F63752"/>
    <w:rsid w:val="00F66846"/>
    <w:rsid w:val="00F7433B"/>
    <w:rsid w:val="00F92F4F"/>
    <w:rsid w:val="00FA6E80"/>
    <w:rsid w:val="00FC1BF7"/>
    <w:rsid w:val="00FE0B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5397E"/>
  <w15:chartTrackingRefBased/>
  <w15:docId w15:val="{97583BFD-6059-44F6-9CB7-224EF395D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3">
    <w:name w:val="p3"/>
    <w:basedOn w:val="Normal"/>
    <w:rsid w:val="008A4D8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DefaultParagraphFont"/>
    <w:rsid w:val="008A4D84"/>
  </w:style>
  <w:style w:type="paragraph" w:customStyle="1" w:styleId="p4">
    <w:name w:val="p4"/>
    <w:basedOn w:val="Normal"/>
    <w:rsid w:val="008A4D8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lossary-link">
    <w:name w:val="glossary-link"/>
    <w:basedOn w:val="DefaultParagraphFont"/>
    <w:rsid w:val="008A4D84"/>
  </w:style>
  <w:style w:type="character" w:styleId="Hyperlink">
    <w:name w:val="Hyperlink"/>
    <w:basedOn w:val="DefaultParagraphFont"/>
    <w:uiPriority w:val="99"/>
    <w:unhideWhenUsed/>
    <w:rsid w:val="008A4D84"/>
    <w:rPr>
      <w:color w:val="0000FF"/>
      <w:u w:val="single"/>
    </w:rPr>
  </w:style>
  <w:style w:type="character" w:customStyle="1" w:styleId="glossary-tooltip-text">
    <w:name w:val="glossary-tooltip-text"/>
    <w:basedOn w:val="DefaultParagraphFont"/>
    <w:rsid w:val="008A4D84"/>
  </w:style>
  <w:style w:type="paragraph" w:customStyle="1" w:styleId="p6">
    <w:name w:val="p6"/>
    <w:basedOn w:val="Normal"/>
    <w:rsid w:val="008A4D8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
    <w:name w:val="s2"/>
    <w:basedOn w:val="DefaultParagraphFont"/>
    <w:rsid w:val="008A4D84"/>
  </w:style>
  <w:style w:type="paragraph" w:customStyle="1" w:styleId="p10">
    <w:name w:val="p10"/>
    <w:basedOn w:val="Normal"/>
    <w:rsid w:val="008A4D8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2">
    <w:name w:val="p12"/>
    <w:basedOn w:val="Normal"/>
    <w:rsid w:val="008A4D8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3">
    <w:name w:val="s3"/>
    <w:basedOn w:val="DefaultParagraphFont"/>
    <w:rsid w:val="008A4D84"/>
  </w:style>
  <w:style w:type="character" w:customStyle="1" w:styleId="s4">
    <w:name w:val="s4"/>
    <w:basedOn w:val="DefaultParagraphFont"/>
    <w:rsid w:val="008A4D84"/>
  </w:style>
  <w:style w:type="character" w:customStyle="1" w:styleId="s5">
    <w:name w:val="s5"/>
    <w:basedOn w:val="DefaultParagraphFont"/>
    <w:rsid w:val="008A4D84"/>
  </w:style>
  <w:style w:type="character" w:customStyle="1" w:styleId="s6">
    <w:name w:val="s6"/>
    <w:basedOn w:val="DefaultParagraphFont"/>
    <w:rsid w:val="008A4D84"/>
  </w:style>
  <w:style w:type="character" w:customStyle="1" w:styleId="s7">
    <w:name w:val="s7"/>
    <w:basedOn w:val="DefaultParagraphFont"/>
    <w:rsid w:val="008A4D84"/>
  </w:style>
  <w:style w:type="paragraph" w:customStyle="1" w:styleId="p16">
    <w:name w:val="p16"/>
    <w:basedOn w:val="Normal"/>
    <w:rsid w:val="008A4D8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8">
    <w:name w:val="s8"/>
    <w:basedOn w:val="DefaultParagraphFont"/>
    <w:rsid w:val="008A4D84"/>
  </w:style>
  <w:style w:type="character" w:customStyle="1" w:styleId="s9">
    <w:name w:val="s9"/>
    <w:basedOn w:val="DefaultParagraphFont"/>
    <w:rsid w:val="008A4D84"/>
  </w:style>
  <w:style w:type="character" w:customStyle="1" w:styleId="s10">
    <w:name w:val="s10"/>
    <w:basedOn w:val="DefaultParagraphFont"/>
    <w:rsid w:val="008A4D84"/>
  </w:style>
  <w:style w:type="character" w:customStyle="1" w:styleId="s11">
    <w:name w:val="s11"/>
    <w:basedOn w:val="DefaultParagraphFont"/>
    <w:rsid w:val="008A4D84"/>
  </w:style>
  <w:style w:type="character" w:customStyle="1" w:styleId="s12">
    <w:name w:val="s12"/>
    <w:basedOn w:val="DefaultParagraphFont"/>
    <w:rsid w:val="008A4D84"/>
  </w:style>
  <w:style w:type="paragraph" w:customStyle="1" w:styleId="p19">
    <w:name w:val="p19"/>
    <w:basedOn w:val="Normal"/>
    <w:rsid w:val="008A4D8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1">
    <w:name w:val="p21"/>
    <w:basedOn w:val="Normal"/>
    <w:rsid w:val="008A4D8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3">
    <w:name w:val="p23"/>
    <w:basedOn w:val="Normal"/>
    <w:rsid w:val="008A4D8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3">
    <w:name w:val="s13"/>
    <w:basedOn w:val="DefaultParagraphFont"/>
    <w:rsid w:val="008A4D84"/>
  </w:style>
  <w:style w:type="character" w:customStyle="1" w:styleId="s14">
    <w:name w:val="s14"/>
    <w:basedOn w:val="DefaultParagraphFont"/>
    <w:rsid w:val="008A4D84"/>
  </w:style>
  <w:style w:type="paragraph" w:customStyle="1" w:styleId="p26">
    <w:name w:val="p26"/>
    <w:basedOn w:val="Normal"/>
    <w:rsid w:val="008A4D8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5">
    <w:name w:val="s15"/>
    <w:basedOn w:val="DefaultParagraphFont"/>
    <w:rsid w:val="008A4D84"/>
  </w:style>
  <w:style w:type="character" w:customStyle="1" w:styleId="s16">
    <w:name w:val="s16"/>
    <w:basedOn w:val="DefaultParagraphFont"/>
    <w:rsid w:val="008A4D84"/>
  </w:style>
  <w:style w:type="character" w:customStyle="1" w:styleId="s17">
    <w:name w:val="s17"/>
    <w:basedOn w:val="DefaultParagraphFont"/>
    <w:rsid w:val="008A4D84"/>
  </w:style>
  <w:style w:type="character" w:customStyle="1" w:styleId="s18">
    <w:name w:val="s18"/>
    <w:basedOn w:val="DefaultParagraphFont"/>
    <w:rsid w:val="008A4D84"/>
  </w:style>
  <w:style w:type="character" w:customStyle="1" w:styleId="s19">
    <w:name w:val="s19"/>
    <w:basedOn w:val="DefaultParagraphFont"/>
    <w:rsid w:val="008A4D84"/>
  </w:style>
  <w:style w:type="character" w:customStyle="1" w:styleId="s20">
    <w:name w:val="s20"/>
    <w:basedOn w:val="DefaultParagraphFont"/>
    <w:rsid w:val="008A4D84"/>
  </w:style>
  <w:style w:type="paragraph" w:customStyle="1" w:styleId="p29">
    <w:name w:val="p29"/>
    <w:basedOn w:val="Normal"/>
    <w:rsid w:val="008A4D8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0">
    <w:name w:val="p30"/>
    <w:basedOn w:val="Normal"/>
    <w:rsid w:val="008A4D8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5">
    <w:name w:val="p35"/>
    <w:basedOn w:val="Normal"/>
    <w:rsid w:val="008A4D8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1">
    <w:name w:val="s21"/>
    <w:basedOn w:val="DefaultParagraphFont"/>
    <w:rsid w:val="008A4D84"/>
  </w:style>
  <w:style w:type="paragraph" w:styleId="ListParagraph">
    <w:name w:val="List Paragraph"/>
    <w:basedOn w:val="Normal"/>
    <w:uiPriority w:val="34"/>
    <w:qFormat/>
    <w:rsid w:val="008A4D84"/>
    <w:pPr>
      <w:ind w:left="720"/>
      <w:contextualSpacing/>
    </w:pPr>
  </w:style>
  <w:style w:type="paragraph" w:styleId="BalloonText">
    <w:name w:val="Balloon Text"/>
    <w:basedOn w:val="Normal"/>
    <w:link w:val="BalloonTextChar"/>
    <w:uiPriority w:val="99"/>
    <w:semiHidden/>
    <w:unhideWhenUsed/>
    <w:rsid w:val="00A422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221E"/>
    <w:rPr>
      <w:rFonts w:ascii="Segoe UI" w:hAnsi="Segoe UI" w:cs="Segoe UI"/>
      <w:sz w:val="18"/>
      <w:szCs w:val="18"/>
    </w:rPr>
  </w:style>
  <w:style w:type="paragraph" w:styleId="NormalWeb">
    <w:name w:val="Normal (Web)"/>
    <w:basedOn w:val="Normal"/>
    <w:uiPriority w:val="99"/>
    <w:semiHidden/>
    <w:unhideWhenUsed/>
    <w:rsid w:val="000509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C314AD"/>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CC0023"/>
    <w:pPr>
      <w:spacing w:after="0" w:line="240" w:lineRule="auto"/>
    </w:pPr>
  </w:style>
  <w:style w:type="character" w:styleId="CommentReference">
    <w:name w:val="annotation reference"/>
    <w:basedOn w:val="DefaultParagraphFont"/>
    <w:uiPriority w:val="99"/>
    <w:semiHidden/>
    <w:unhideWhenUsed/>
    <w:rsid w:val="0090237F"/>
    <w:rPr>
      <w:sz w:val="16"/>
      <w:szCs w:val="16"/>
    </w:rPr>
  </w:style>
  <w:style w:type="paragraph" w:styleId="CommentText">
    <w:name w:val="annotation text"/>
    <w:basedOn w:val="Normal"/>
    <w:link w:val="CommentTextChar"/>
    <w:uiPriority w:val="99"/>
    <w:semiHidden/>
    <w:unhideWhenUsed/>
    <w:rsid w:val="0090237F"/>
    <w:pPr>
      <w:spacing w:line="240" w:lineRule="auto"/>
    </w:pPr>
    <w:rPr>
      <w:sz w:val="20"/>
      <w:szCs w:val="20"/>
    </w:rPr>
  </w:style>
  <w:style w:type="character" w:customStyle="1" w:styleId="CommentTextChar">
    <w:name w:val="Comment Text Char"/>
    <w:basedOn w:val="DefaultParagraphFont"/>
    <w:link w:val="CommentText"/>
    <w:uiPriority w:val="99"/>
    <w:semiHidden/>
    <w:rsid w:val="0090237F"/>
    <w:rPr>
      <w:sz w:val="20"/>
      <w:szCs w:val="20"/>
    </w:rPr>
  </w:style>
  <w:style w:type="paragraph" w:styleId="CommentSubject">
    <w:name w:val="annotation subject"/>
    <w:basedOn w:val="CommentText"/>
    <w:next w:val="CommentText"/>
    <w:link w:val="CommentSubjectChar"/>
    <w:uiPriority w:val="99"/>
    <w:semiHidden/>
    <w:unhideWhenUsed/>
    <w:rsid w:val="0090237F"/>
    <w:rPr>
      <w:b/>
      <w:bCs/>
    </w:rPr>
  </w:style>
  <w:style w:type="character" w:customStyle="1" w:styleId="CommentSubjectChar">
    <w:name w:val="Comment Subject Char"/>
    <w:basedOn w:val="CommentTextChar"/>
    <w:link w:val="CommentSubject"/>
    <w:uiPriority w:val="99"/>
    <w:semiHidden/>
    <w:rsid w:val="0090237F"/>
    <w:rPr>
      <w:b/>
      <w:bCs/>
      <w:sz w:val="20"/>
      <w:szCs w:val="20"/>
    </w:rPr>
  </w:style>
  <w:style w:type="character" w:customStyle="1" w:styleId="UnresolvedMention1">
    <w:name w:val="Unresolved Mention1"/>
    <w:basedOn w:val="DefaultParagraphFont"/>
    <w:uiPriority w:val="99"/>
    <w:semiHidden/>
    <w:unhideWhenUsed/>
    <w:rsid w:val="006848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9677068">
      <w:bodyDiv w:val="1"/>
      <w:marLeft w:val="0"/>
      <w:marRight w:val="0"/>
      <w:marTop w:val="0"/>
      <w:marBottom w:val="0"/>
      <w:divBdr>
        <w:top w:val="none" w:sz="0" w:space="0" w:color="auto"/>
        <w:left w:val="none" w:sz="0" w:space="0" w:color="auto"/>
        <w:bottom w:val="none" w:sz="0" w:space="0" w:color="auto"/>
        <w:right w:val="none" w:sz="0" w:space="0" w:color="auto"/>
      </w:divBdr>
    </w:div>
    <w:div w:id="1044645219">
      <w:bodyDiv w:val="1"/>
      <w:marLeft w:val="0"/>
      <w:marRight w:val="0"/>
      <w:marTop w:val="0"/>
      <w:marBottom w:val="0"/>
      <w:divBdr>
        <w:top w:val="none" w:sz="0" w:space="0" w:color="auto"/>
        <w:left w:val="none" w:sz="0" w:space="0" w:color="auto"/>
        <w:bottom w:val="none" w:sz="0" w:space="0" w:color="auto"/>
        <w:right w:val="none" w:sz="0" w:space="0" w:color="auto"/>
      </w:divBdr>
      <w:divsChild>
        <w:div w:id="181738206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359045782">
      <w:bodyDiv w:val="1"/>
      <w:marLeft w:val="0"/>
      <w:marRight w:val="0"/>
      <w:marTop w:val="0"/>
      <w:marBottom w:val="0"/>
      <w:divBdr>
        <w:top w:val="none" w:sz="0" w:space="0" w:color="auto"/>
        <w:left w:val="none" w:sz="0" w:space="0" w:color="auto"/>
        <w:bottom w:val="none" w:sz="0" w:space="0" w:color="auto"/>
        <w:right w:val="none" w:sz="0" w:space="0" w:color="auto"/>
      </w:divBdr>
    </w:div>
    <w:div w:id="1693149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reliance.smartirb.org/users/sign_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u.edu/researchsupport/compliance/human-subjects/"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4B2D51-369B-45CE-AFBF-DFCD716AA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1390</Words>
  <Characters>7927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Boston University</Company>
  <LinksUpToDate>false</LinksUpToDate>
  <CharactersWithSpaces>9299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McCabe, Mary</dc:creator>
  <cp:keywords/>
  <dc:description/>
  <cp:lastModifiedBy>Richmond, Pamela J</cp:lastModifiedBy>
  <cp:revision>4</cp:revision>
  <dcterms:created xsi:type="dcterms:W3CDTF">2020-04-30T20:52:00Z</dcterms:created>
  <dcterms:modified xsi:type="dcterms:W3CDTF">2020-09-10T17:53:00Z</dcterms:modified>
</cp:coreProperties>
</file>