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65B70" w:rsidRDefault="00D65B70">
      <w:pPr>
        <w:jc w:val="center"/>
        <w:rPr>
          <w:rFonts w:ascii="Times New Roman" w:eastAsia="Times New Roman" w:hAnsi="Times New Roman" w:cs="Times New Roman"/>
          <w:b/>
          <w:bCs/>
          <w:sz w:val="26"/>
          <w:szCs w:val="26"/>
        </w:rPr>
      </w:pPr>
    </w:p>
    <w:p w14:paraId="00000002" w14:textId="77777777" w:rsidR="00D65B70" w:rsidRDefault="00D65B70">
      <w:pPr>
        <w:jc w:val="center"/>
        <w:rPr>
          <w:rFonts w:ascii="Times New Roman" w:eastAsia="Times New Roman" w:hAnsi="Times New Roman" w:cs="Times New Roman"/>
          <w:b/>
          <w:bCs/>
          <w:sz w:val="26"/>
          <w:szCs w:val="26"/>
        </w:rPr>
      </w:pPr>
    </w:p>
    <w:p w14:paraId="00000003" w14:textId="77777777" w:rsidR="00D65B70" w:rsidRDefault="00D65B70">
      <w:pPr>
        <w:jc w:val="center"/>
        <w:rPr>
          <w:rFonts w:ascii="Times New Roman" w:eastAsia="Times New Roman" w:hAnsi="Times New Roman" w:cs="Times New Roman"/>
          <w:b/>
          <w:bCs/>
          <w:sz w:val="26"/>
          <w:szCs w:val="26"/>
        </w:rPr>
      </w:pPr>
    </w:p>
    <w:p w14:paraId="00000004" w14:textId="77777777" w:rsidR="00D65B70" w:rsidRDefault="00D65B70">
      <w:pPr>
        <w:jc w:val="center"/>
        <w:rPr>
          <w:rFonts w:ascii="Times New Roman" w:eastAsia="Times New Roman" w:hAnsi="Times New Roman" w:cs="Times New Roman"/>
          <w:b/>
          <w:bCs/>
          <w:sz w:val="26"/>
          <w:szCs w:val="26"/>
        </w:rPr>
      </w:pPr>
    </w:p>
    <w:p w14:paraId="00000005" w14:textId="77777777" w:rsidR="00D65B70" w:rsidRDefault="00D65B70">
      <w:pPr>
        <w:jc w:val="center"/>
        <w:rPr>
          <w:rFonts w:ascii="Times New Roman" w:eastAsia="Times New Roman" w:hAnsi="Times New Roman" w:cs="Times New Roman"/>
          <w:b/>
          <w:bCs/>
          <w:sz w:val="26"/>
          <w:szCs w:val="26"/>
        </w:rPr>
      </w:pPr>
    </w:p>
    <w:p w14:paraId="00000006" w14:textId="77777777" w:rsidR="00D65B70" w:rsidRDefault="00D65B70">
      <w:pPr>
        <w:jc w:val="center"/>
        <w:rPr>
          <w:rFonts w:ascii="Times New Roman" w:eastAsia="Times New Roman" w:hAnsi="Times New Roman" w:cs="Times New Roman"/>
          <w:b/>
          <w:bCs/>
          <w:sz w:val="26"/>
          <w:szCs w:val="26"/>
        </w:rPr>
      </w:pPr>
    </w:p>
    <w:p w14:paraId="00000007" w14:textId="77777777" w:rsidR="00D65B70" w:rsidRDefault="00D65B70">
      <w:pPr>
        <w:jc w:val="center"/>
        <w:rPr>
          <w:rFonts w:ascii="Times New Roman" w:eastAsia="Times New Roman" w:hAnsi="Times New Roman" w:cs="Times New Roman"/>
          <w:b/>
          <w:bCs/>
          <w:sz w:val="26"/>
          <w:szCs w:val="26"/>
        </w:rPr>
      </w:pPr>
    </w:p>
    <w:p w14:paraId="00000008" w14:textId="77777777" w:rsidR="00D65B70" w:rsidRDefault="00D65B70">
      <w:pPr>
        <w:jc w:val="center"/>
        <w:rPr>
          <w:rFonts w:ascii="Times New Roman" w:eastAsia="Times New Roman" w:hAnsi="Times New Roman" w:cs="Times New Roman"/>
          <w:b/>
          <w:bCs/>
          <w:sz w:val="26"/>
          <w:szCs w:val="26"/>
        </w:rPr>
      </w:pPr>
    </w:p>
    <w:p w14:paraId="00000009" w14:textId="77777777" w:rsidR="00D65B70" w:rsidRDefault="00D65B70">
      <w:pPr>
        <w:jc w:val="center"/>
        <w:rPr>
          <w:rFonts w:ascii="Times New Roman" w:eastAsia="Times New Roman" w:hAnsi="Times New Roman" w:cs="Times New Roman"/>
          <w:b/>
          <w:bCs/>
          <w:sz w:val="26"/>
          <w:szCs w:val="26"/>
        </w:rPr>
      </w:pPr>
    </w:p>
    <w:p w14:paraId="0000000A" w14:textId="77777777" w:rsidR="00D65B70" w:rsidRDefault="00D65B70">
      <w:pPr>
        <w:jc w:val="center"/>
        <w:rPr>
          <w:rFonts w:ascii="Times New Roman" w:eastAsia="Times New Roman" w:hAnsi="Times New Roman" w:cs="Times New Roman"/>
          <w:b/>
          <w:bCs/>
          <w:sz w:val="26"/>
          <w:szCs w:val="26"/>
        </w:rPr>
      </w:pPr>
    </w:p>
    <w:p w14:paraId="0000000B" w14:textId="77777777" w:rsidR="00D65B70" w:rsidRDefault="00D65B70">
      <w:pPr>
        <w:jc w:val="center"/>
        <w:rPr>
          <w:rFonts w:ascii="Times New Roman" w:eastAsia="Times New Roman" w:hAnsi="Times New Roman" w:cs="Times New Roman"/>
          <w:b/>
          <w:bCs/>
          <w:sz w:val="26"/>
          <w:szCs w:val="26"/>
        </w:rPr>
      </w:pPr>
    </w:p>
    <w:p w14:paraId="0000000C" w14:textId="77777777" w:rsidR="00D65B70" w:rsidRDefault="00D65B70">
      <w:pPr>
        <w:jc w:val="center"/>
        <w:rPr>
          <w:rFonts w:ascii="Times New Roman" w:eastAsia="Times New Roman" w:hAnsi="Times New Roman" w:cs="Times New Roman"/>
          <w:b/>
          <w:bCs/>
          <w:sz w:val="26"/>
          <w:szCs w:val="26"/>
        </w:rPr>
      </w:pPr>
    </w:p>
    <w:p w14:paraId="0000000D" w14:textId="77777777" w:rsidR="00D65B70" w:rsidRDefault="00D65B70">
      <w:pPr>
        <w:rPr>
          <w:rFonts w:ascii="Times New Roman" w:eastAsia="Times New Roman" w:hAnsi="Times New Roman" w:cs="Times New Roman"/>
          <w:b/>
          <w:bCs/>
          <w:sz w:val="26"/>
          <w:szCs w:val="26"/>
        </w:rPr>
      </w:pPr>
    </w:p>
    <w:p w14:paraId="0000000E" w14:textId="77777777" w:rsidR="00D65B70" w:rsidRDefault="00D65B70">
      <w:pPr>
        <w:jc w:val="center"/>
        <w:rPr>
          <w:rFonts w:ascii="Times New Roman" w:eastAsia="Times New Roman" w:hAnsi="Times New Roman" w:cs="Times New Roman"/>
          <w:b/>
          <w:bCs/>
          <w:sz w:val="26"/>
          <w:szCs w:val="26"/>
        </w:rPr>
      </w:pPr>
    </w:p>
    <w:p w14:paraId="0000000F" w14:textId="77777777" w:rsidR="00D65B70" w:rsidRDefault="00D65B70">
      <w:pPr>
        <w:jc w:val="center"/>
        <w:rPr>
          <w:rFonts w:ascii="Times New Roman" w:eastAsia="Times New Roman" w:hAnsi="Times New Roman" w:cs="Times New Roman"/>
          <w:b/>
          <w:bCs/>
          <w:sz w:val="26"/>
          <w:szCs w:val="26"/>
        </w:rPr>
      </w:pPr>
    </w:p>
    <w:p w14:paraId="00000010" w14:textId="77777777" w:rsidR="00D65B70" w:rsidRDefault="00911652">
      <w:pPr>
        <w:pStyle w:val="Title"/>
        <w:jc w:val="center"/>
        <w:rPr>
          <w:rFonts w:ascii="Times New Roman" w:eastAsia="Times New Roman" w:hAnsi="Times New Roman" w:cs="Times New Roman"/>
          <w:sz w:val="32"/>
          <w:szCs w:val="32"/>
        </w:rPr>
      </w:pPr>
      <w:bookmarkStart w:id="0" w:name="_eicc4rxudwme" w:colFirst="0" w:colLast="0"/>
      <w:bookmarkEnd w:id="0"/>
      <w:r>
        <w:rPr>
          <w:rFonts w:ascii="Times New Roman" w:eastAsia="Times New Roman" w:hAnsi="Times New Roman" w:cs="Times New Roman"/>
          <w:sz w:val="32"/>
          <w:szCs w:val="32"/>
        </w:rPr>
        <w:t>Meeting the Cost Gap in Septic System Replacement for Residents of Cape Cod, Massachusetts</w:t>
      </w:r>
    </w:p>
    <w:p w14:paraId="00000011" w14:textId="77777777" w:rsidR="00D65B70" w:rsidRDefault="00D65B70">
      <w:pPr>
        <w:jc w:val="center"/>
        <w:rPr>
          <w:rFonts w:ascii="Times New Roman" w:eastAsia="Times New Roman" w:hAnsi="Times New Roman" w:cs="Times New Roman"/>
          <w:b/>
          <w:bCs/>
          <w:sz w:val="26"/>
          <w:szCs w:val="26"/>
        </w:rPr>
      </w:pPr>
    </w:p>
    <w:p w14:paraId="00000012" w14:textId="77777777" w:rsidR="00D65B70" w:rsidRDefault="00D65B70">
      <w:pPr>
        <w:jc w:val="center"/>
        <w:rPr>
          <w:rFonts w:ascii="Times New Roman" w:eastAsia="Times New Roman" w:hAnsi="Times New Roman" w:cs="Times New Roman"/>
          <w:b/>
          <w:bCs/>
          <w:sz w:val="26"/>
          <w:szCs w:val="26"/>
        </w:rPr>
      </w:pPr>
    </w:p>
    <w:p w14:paraId="00000013" w14:textId="77777777" w:rsidR="00D65B70" w:rsidRDefault="00D65B70">
      <w:pPr>
        <w:jc w:val="center"/>
        <w:rPr>
          <w:rFonts w:ascii="Times New Roman" w:eastAsia="Times New Roman" w:hAnsi="Times New Roman" w:cs="Times New Roman"/>
          <w:b/>
          <w:bCs/>
          <w:sz w:val="26"/>
          <w:szCs w:val="26"/>
        </w:rPr>
      </w:pPr>
    </w:p>
    <w:p w14:paraId="00000014" w14:textId="77777777" w:rsidR="00D65B70" w:rsidRDefault="00D65B70">
      <w:pPr>
        <w:jc w:val="center"/>
        <w:rPr>
          <w:rFonts w:ascii="Times New Roman" w:eastAsia="Times New Roman" w:hAnsi="Times New Roman" w:cs="Times New Roman"/>
          <w:b/>
          <w:bCs/>
          <w:sz w:val="26"/>
          <w:szCs w:val="26"/>
        </w:rPr>
      </w:pPr>
    </w:p>
    <w:p w14:paraId="00000015" w14:textId="77777777" w:rsidR="00D65B70" w:rsidRDefault="00D65B70">
      <w:pPr>
        <w:jc w:val="center"/>
        <w:rPr>
          <w:rFonts w:ascii="Times New Roman" w:eastAsia="Times New Roman" w:hAnsi="Times New Roman" w:cs="Times New Roman"/>
          <w:b/>
          <w:bCs/>
          <w:sz w:val="26"/>
          <w:szCs w:val="26"/>
        </w:rPr>
      </w:pPr>
    </w:p>
    <w:p w14:paraId="00000016" w14:textId="77777777" w:rsidR="00D65B70" w:rsidRDefault="00D65B70">
      <w:pPr>
        <w:jc w:val="center"/>
        <w:rPr>
          <w:rFonts w:ascii="Times New Roman" w:eastAsia="Times New Roman" w:hAnsi="Times New Roman" w:cs="Times New Roman"/>
          <w:b/>
          <w:bCs/>
          <w:sz w:val="26"/>
          <w:szCs w:val="26"/>
        </w:rPr>
      </w:pPr>
    </w:p>
    <w:p w14:paraId="00000017" w14:textId="77777777" w:rsidR="00D65B70" w:rsidRDefault="00D65B70">
      <w:pPr>
        <w:rPr>
          <w:rFonts w:ascii="Times New Roman" w:eastAsia="Times New Roman" w:hAnsi="Times New Roman" w:cs="Times New Roman"/>
          <w:b/>
          <w:bCs/>
          <w:sz w:val="26"/>
          <w:szCs w:val="26"/>
        </w:rPr>
      </w:pPr>
    </w:p>
    <w:p w14:paraId="00000018" w14:textId="77777777" w:rsidR="00D65B70" w:rsidRDefault="00D65B70">
      <w:pPr>
        <w:rPr>
          <w:rFonts w:ascii="Times New Roman" w:eastAsia="Times New Roman" w:hAnsi="Times New Roman" w:cs="Times New Roman"/>
          <w:b/>
          <w:bCs/>
          <w:sz w:val="26"/>
          <w:szCs w:val="26"/>
        </w:rPr>
      </w:pPr>
    </w:p>
    <w:p w14:paraId="00000019" w14:textId="77777777" w:rsidR="00D65B70" w:rsidRDefault="00D65B70">
      <w:pPr>
        <w:rPr>
          <w:rFonts w:ascii="Times New Roman" w:eastAsia="Times New Roman" w:hAnsi="Times New Roman" w:cs="Times New Roman"/>
          <w:b/>
          <w:bCs/>
          <w:sz w:val="26"/>
          <w:szCs w:val="26"/>
        </w:rPr>
      </w:pPr>
    </w:p>
    <w:p w14:paraId="0000001A" w14:textId="77777777" w:rsidR="00D65B70" w:rsidRDefault="00D65B70">
      <w:pPr>
        <w:rPr>
          <w:rFonts w:ascii="Times New Roman" w:eastAsia="Times New Roman" w:hAnsi="Times New Roman" w:cs="Times New Roman"/>
          <w:b/>
          <w:bCs/>
          <w:sz w:val="26"/>
          <w:szCs w:val="26"/>
        </w:rPr>
      </w:pPr>
    </w:p>
    <w:p w14:paraId="0000001B" w14:textId="77777777" w:rsidR="00D65B70" w:rsidRDefault="00D65B70">
      <w:pPr>
        <w:jc w:val="center"/>
        <w:rPr>
          <w:rFonts w:ascii="Times New Roman" w:eastAsia="Times New Roman" w:hAnsi="Times New Roman" w:cs="Times New Roman"/>
          <w:b/>
          <w:bCs/>
          <w:sz w:val="26"/>
          <w:szCs w:val="26"/>
        </w:rPr>
      </w:pPr>
    </w:p>
    <w:p w14:paraId="0000001C" w14:textId="77777777" w:rsidR="00D65B70" w:rsidRDefault="00D65B70">
      <w:pPr>
        <w:jc w:val="center"/>
        <w:rPr>
          <w:rFonts w:ascii="Times New Roman" w:eastAsia="Times New Roman" w:hAnsi="Times New Roman" w:cs="Times New Roman"/>
          <w:b/>
          <w:bCs/>
          <w:sz w:val="26"/>
          <w:szCs w:val="26"/>
        </w:rPr>
      </w:pPr>
    </w:p>
    <w:p w14:paraId="0000001D" w14:textId="77777777" w:rsidR="00D65B70" w:rsidRDefault="00D65B70">
      <w:pPr>
        <w:jc w:val="center"/>
        <w:rPr>
          <w:rFonts w:ascii="Times New Roman" w:eastAsia="Times New Roman" w:hAnsi="Times New Roman" w:cs="Times New Roman"/>
          <w:b/>
          <w:bCs/>
          <w:sz w:val="26"/>
          <w:szCs w:val="26"/>
        </w:rPr>
      </w:pPr>
    </w:p>
    <w:p w14:paraId="0000001E" w14:textId="77777777" w:rsidR="00D65B70" w:rsidRDefault="00D65B70">
      <w:pPr>
        <w:jc w:val="center"/>
        <w:rPr>
          <w:rFonts w:ascii="Times New Roman" w:eastAsia="Times New Roman" w:hAnsi="Times New Roman" w:cs="Times New Roman"/>
          <w:b/>
          <w:bCs/>
          <w:sz w:val="26"/>
          <w:szCs w:val="26"/>
        </w:rPr>
      </w:pPr>
    </w:p>
    <w:p w14:paraId="0000001F" w14:textId="77777777" w:rsidR="00D65B70" w:rsidRDefault="00D65B70">
      <w:pPr>
        <w:rPr>
          <w:rFonts w:ascii="Times New Roman" w:eastAsia="Times New Roman" w:hAnsi="Times New Roman" w:cs="Times New Roman"/>
          <w:b/>
          <w:bCs/>
          <w:sz w:val="26"/>
          <w:szCs w:val="26"/>
        </w:rPr>
      </w:pPr>
    </w:p>
    <w:p w14:paraId="00000020" w14:textId="77777777" w:rsidR="00D65B70" w:rsidRDefault="0091165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Avery </w:t>
      </w:r>
      <w:proofErr w:type="spellStart"/>
      <w:r>
        <w:rPr>
          <w:rFonts w:ascii="Times New Roman" w:eastAsia="Times New Roman" w:hAnsi="Times New Roman" w:cs="Times New Roman"/>
          <w:sz w:val="24"/>
          <w:szCs w:val="24"/>
        </w:rPr>
        <w:t>Demetres</w:t>
      </w:r>
      <w:proofErr w:type="spellEnd"/>
    </w:p>
    <w:p w14:paraId="00000021" w14:textId="77777777" w:rsidR="00D65B70" w:rsidRDefault="0091165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EE538 Research for Environmental Agencies and Organizations 2</w:t>
      </w:r>
    </w:p>
    <w:p w14:paraId="00000022" w14:textId="77777777" w:rsidR="00D65B70" w:rsidRDefault="009116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26, 2026</w:t>
      </w:r>
    </w:p>
    <w:p w14:paraId="00000023" w14:textId="77777777" w:rsidR="00D65B70" w:rsidRDefault="00911652">
      <w:pPr>
        <w:pStyle w:val="Heading3"/>
        <w:spacing w:line="480" w:lineRule="auto"/>
        <w:rPr>
          <w:rFonts w:ascii="Times New Roman" w:eastAsia="Times New Roman" w:hAnsi="Times New Roman" w:cs="Times New Roman"/>
          <w:color w:val="000000"/>
          <w:sz w:val="24"/>
          <w:szCs w:val="24"/>
          <w:u w:val="single"/>
        </w:rPr>
      </w:pPr>
      <w:bookmarkStart w:id="1" w:name="_odcl3sh78dx8" w:colFirst="0" w:colLast="0"/>
      <w:bookmarkEnd w:id="1"/>
      <w:r>
        <w:rPr>
          <w:rFonts w:ascii="Times New Roman" w:eastAsia="Times New Roman" w:hAnsi="Times New Roman" w:cs="Times New Roman"/>
          <w:color w:val="000000"/>
          <w:sz w:val="24"/>
          <w:szCs w:val="24"/>
          <w:u w:val="single"/>
        </w:rPr>
        <w:lastRenderedPageBreak/>
        <w:t>Introduction</w:t>
      </w:r>
    </w:p>
    <w:p w14:paraId="00000024" w14:textId="67E9AD68"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Onsite wastewater treatment systems (OWTS), also called septic systems, pose great threats to water quality, ecosystem stability, and public health in Barnstable County, Massachusetts (</w:t>
      </w:r>
      <w:proofErr w:type="spellStart"/>
      <w:r>
        <w:rPr>
          <w:rFonts w:ascii="Times New Roman" w:eastAsia="Times New Roman" w:hAnsi="Times New Roman" w:cs="Times New Roman"/>
          <w:sz w:val="24"/>
          <w:szCs w:val="24"/>
        </w:rPr>
        <w:t>Erban</w:t>
      </w:r>
      <w:proofErr w:type="spellEnd"/>
      <w:r>
        <w:rPr>
          <w:rFonts w:ascii="Times New Roman" w:eastAsia="Times New Roman" w:hAnsi="Times New Roman" w:cs="Times New Roman"/>
          <w:sz w:val="24"/>
          <w:szCs w:val="24"/>
        </w:rPr>
        <w:t xml:space="preserve"> et al., 2024). Septic systems are known to release excess nitrogen into the watershed, which leads to eutrophication of freshwater and estuary environments, and also diminishes the safety of drinking water (Nixon, 1995, </w:t>
      </w:r>
      <w:proofErr w:type="spellStart"/>
      <w:r>
        <w:rPr>
          <w:rFonts w:ascii="Times New Roman" w:eastAsia="Times New Roman" w:hAnsi="Times New Roman" w:cs="Times New Roman"/>
          <w:sz w:val="24"/>
          <w:szCs w:val="24"/>
        </w:rPr>
        <w:t>Wallender</w:t>
      </w:r>
      <w:proofErr w:type="spellEnd"/>
      <w:r>
        <w:rPr>
          <w:rFonts w:ascii="Times New Roman" w:eastAsia="Times New Roman" w:hAnsi="Times New Roman" w:cs="Times New Roman"/>
          <w:sz w:val="24"/>
          <w:szCs w:val="24"/>
        </w:rPr>
        <w:t xml:space="preserve"> et al., 2013). Increased nitrogen load on Cape Cod has already reached dangerous levels, with major impacts on the freshwater and estuary ecosystems. These impacts include increased fish mortality rates, increased microalgae and phytoplankton, and a decrease in eelgrass cover (Bowen &amp; </w:t>
      </w:r>
      <w:proofErr w:type="spellStart"/>
      <w:r>
        <w:rPr>
          <w:rFonts w:ascii="Times New Roman" w:eastAsia="Times New Roman" w:hAnsi="Times New Roman" w:cs="Times New Roman"/>
          <w:sz w:val="24"/>
          <w:szCs w:val="24"/>
        </w:rPr>
        <w:t>Valiela</w:t>
      </w:r>
      <w:proofErr w:type="spellEnd"/>
      <w:r>
        <w:rPr>
          <w:rFonts w:ascii="Times New Roman" w:eastAsia="Times New Roman" w:hAnsi="Times New Roman" w:cs="Times New Roman"/>
          <w:sz w:val="24"/>
          <w:szCs w:val="24"/>
        </w:rPr>
        <w:t>, 2001). Septic systems also pose public health risks for people of all ages, causing high levels of nitrates and coliform bacteria to enter public drinking water systems (</w:t>
      </w:r>
      <w:proofErr w:type="spellStart"/>
      <w:r>
        <w:rPr>
          <w:rFonts w:ascii="Times New Roman" w:eastAsia="Times New Roman" w:hAnsi="Times New Roman" w:cs="Times New Roman"/>
          <w:sz w:val="24"/>
          <w:szCs w:val="24"/>
        </w:rPr>
        <w:t>Wallender</w:t>
      </w:r>
      <w:proofErr w:type="spellEnd"/>
      <w:r>
        <w:rPr>
          <w:rFonts w:ascii="Times New Roman" w:eastAsia="Times New Roman" w:hAnsi="Times New Roman" w:cs="Times New Roman"/>
          <w:sz w:val="24"/>
          <w:szCs w:val="24"/>
        </w:rPr>
        <w:t xml:space="preserve"> et al., 2013, </w:t>
      </w:r>
      <w:proofErr w:type="spellStart"/>
      <w:r>
        <w:rPr>
          <w:rFonts w:ascii="Times New Roman" w:eastAsia="Times New Roman" w:hAnsi="Times New Roman" w:cs="Times New Roman"/>
          <w:sz w:val="24"/>
          <w:szCs w:val="24"/>
        </w:rPr>
        <w:t>Schaider</w:t>
      </w:r>
      <w:proofErr w:type="spellEnd"/>
      <w:r>
        <w:rPr>
          <w:rFonts w:ascii="Times New Roman" w:eastAsia="Times New Roman" w:hAnsi="Times New Roman" w:cs="Times New Roman"/>
          <w:sz w:val="24"/>
          <w:szCs w:val="24"/>
        </w:rPr>
        <w:t xml:space="preserve"> et al., 2016). Alongside these more traditional pollutants, septic systems have shown to pollute drinking water with organic wastewater compounds (OWCs) such as skin care products and pharmaceuticals (</w:t>
      </w:r>
      <w:proofErr w:type="spellStart"/>
      <w:r>
        <w:rPr>
          <w:rFonts w:ascii="Times New Roman" w:eastAsia="Times New Roman" w:hAnsi="Times New Roman" w:cs="Times New Roman"/>
          <w:sz w:val="24"/>
          <w:szCs w:val="24"/>
        </w:rPr>
        <w:t>Schaider</w:t>
      </w:r>
      <w:proofErr w:type="spellEnd"/>
      <w:r>
        <w:rPr>
          <w:rFonts w:ascii="Times New Roman" w:eastAsia="Times New Roman" w:hAnsi="Times New Roman" w:cs="Times New Roman"/>
          <w:sz w:val="24"/>
          <w:szCs w:val="24"/>
        </w:rPr>
        <w:t xml:space="preserve"> et al., 2016). </w:t>
      </w:r>
    </w:p>
    <w:p w14:paraId="00000025" w14:textId="001A886E"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septic systems to be most effective and safe, a schedule must be established for both inspection and pumping. With a proper routine, of inspections every 1-3 years and pumping every 3-5, it typically costs around $250-$500 for OWTS maintenance (</w:t>
      </w:r>
      <w:r>
        <w:rPr>
          <w:rFonts w:ascii="Times New Roman" w:eastAsia="Times New Roman" w:hAnsi="Times New Roman" w:cs="Times New Roman"/>
          <w:i/>
          <w:iCs/>
          <w:sz w:val="24"/>
          <w:szCs w:val="24"/>
        </w:rPr>
        <w:t>Why Maintain Your Septic System | US EPA</w:t>
      </w:r>
      <w:r>
        <w:rPr>
          <w:rFonts w:ascii="Times New Roman" w:eastAsia="Times New Roman" w:hAnsi="Times New Roman" w:cs="Times New Roman"/>
          <w:sz w:val="24"/>
          <w:szCs w:val="24"/>
        </w:rPr>
        <w:t>, 2026). However, in 2023, Massachusetts state government made changes to the Title 5 regulations, mandating that within five years of July 5, 2023 homeowners must replace outdated septic systems with systems including nutrient-reducing technology if their residence is in the designated nitrogen sensitive area (</w:t>
      </w:r>
      <w:r>
        <w:rPr>
          <w:rFonts w:ascii="Times New Roman" w:eastAsia="Times New Roman" w:hAnsi="Times New Roman" w:cs="Times New Roman"/>
          <w:i/>
          <w:iCs/>
          <w:sz w:val="24"/>
          <w:szCs w:val="24"/>
        </w:rPr>
        <w:t xml:space="preserve">310 CMR 15.000: Title 5 - The State Environmental Code, Title 5: Standard Requirements for the Siting, Construction, Inspection, Upgrade and Expansion of On-Site Sewage Treatment and Disposal Systems and for the </w:t>
      </w:r>
      <w:r>
        <w:rPr>
          <w:rFonts w:ascii="Times New Roman" w:eastAsia="Times New Roman" w:hAnsi="Times New Roman" w:cs="Times New Roman"/>
          <w:i/>
          <w:iCs/>
          <w:sz w:val="24"/>
          <w:szCs w:val="24"/>
        </w:rPr>
        <w:lastRenderedPageBreak/>
        <w:t>Transport and Disposal of Septage</w:t>
      </w:r>
      <w:r>
        <w:rPr>
          <w:rFonts w:ascii="Times New Roman" w:eastAsia="Times New Roman" w:hAnsi="Times New Roman" w:cs="Times New Roman"/>
          <w:sz w:val="24"/>
          <w:szCs w:val="24"/>
        </w:rPr>
        <w:t>, 2023). This area consists of a large portion of Barnstable County, mostly along the south shore from the Cape Cod Canal to Chatham, containing an estimated 86,000 outdated septic systems to be replaced (</w:t>
      </w:r>
      <w:r>
        <w:rPr>
          <w:rFonts w:ascii="Times New Roman" w:eastAsia="Times New Roman" w:hAnsi="Times New Roman" w:cs="Times New Roman"/>
          <w:i/>
          <w:iCs/>
          <w:sz w:val="24"/>
          <w:szCs w:val="24"/>
        </w:rPr>
        <w:t>Understanding MassDEP’s Proposed Nitrogen Reduction Regulatory Changes</w:t>
      </w:r>
      <w:r>
        <w:rPr>
          <w:rFonts w:ascii="Times New Roman" w:eastAsia="Times New Roman" w:hAnsi="Times New Roman" w:cs="Times New Roman"/>
          <w:sz w:val="24"/>
          <w:szCs w:val="24"/>
        </w:rPr>
        <w:t xml:space="preserve">, 2022). </w:t>
      </w:r>
    </w:p>
    <w:p w14:paraId="00000026" w14:textId="77777777"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Officials recommend installing I/A systems, with advanced technology to prevent excess nitrogen from entering waterways. These I/A systems have shown to be effective in decreasing the nitrogen input to groundwater, and some are specialized to remove high levels of phosphorus as well (</w:t>
      </w:r>
      <w:r>
        <w:rPr>
          <w:rFonts w:ascii="Times New Roman" w:eastAsia="Times New Roman" w:hAnsi="Times New Roman" w:cs="Times New Roman"/>
          <w:i/>
          <w:iCs/>
          <w:sz w:val="24"/>
          <w:szCs w:val="24"/>
        </w:rPr>
        <w:t>Innovative / Alternative (I/A) Septic System</w:t>
      </w:r>
      <w:r>
        <w:rPr>
          <w:rFonts w:ascii="Times New Roman" w:eastAsia="Times New Roman" w:hAnsi="Times New Roman" w:cs="Times New Roman"/>
          <w:sz w:val="24"/>
          <w:szCs w:val="24"/>
        </w:rPr>
        <w:t>, 2025). However, they can be extremely expensive, up to $40,00 for installation, and $2,400 per year for maintenance (</w:t>
      </w:r>
      <w:r>
        <w:rPr>
          <w:rFonts w:ascii="Times New Roman" w:eastAsia="Times New Roman" w:hAnsi="Times New Roman" w:cs="Times New Roman"/>
          <w:i/>
          <w:iCs/>
          <w:sz w:val="24"/>
          <w:szCs w:val="24"/>
        </w:rPr>
        <w:t>Updated Understanding Cesspools, Title 5, and Innovative/Alternative (I/A) Septic Systems</w:t>
      </w:r>
      <w:r>
        <w:rPr>
          <w:rFonts w:ascii="Times New Roman" w:eastAsia="Times New Roman" w:hAnsi="Times New Roman" w:cs="Times New Roman"/>
          <w:sz w:val="24"/>
          <w:szCs w:val="24"/>
        </w:rPr>
        <w:t>, 2023). In 2024, the median household income was $95,241, and the cost of living was higher than the average for the US (</w:t>
      </w:r>
      <w:r>
        <w:rPr>
          <w:rFonts w:ascii="Times New Roman" w:eastAsia="Times New Roman" w:hAnsi="Times New Roman" w:cs="Times New Roman"/>
          <w:i/>
          <w:iCs/>
          <w:sz w:val="24"/>
          <w:szCs w:val="24"/>
        </w:rPr>
        <w:t>Barnstable County, Massachusetts</w:t>
      </w:r>
      <w:r>
        <w:rPr>
          <w:rFonts w:ascii="Times New Roman" w:eastAsia="Times New Roman" w:hAnsi="Times New Roman" w:cs="Times New Roman"/>
          <w:sz w:val="24"/>
          <w:szCs w:val="24"/>
        </w:rPr>
        <w:t xml:space="preserve">, 2024). </w:t>
      </w:r>
    </w:p>
    <w:p w14:paraId="00000027" w14:textId="77777777" w:rsidR="00D65B70" w:rsidRDefault="00D65B70">
      <w:pPr>
        <w:spacing w:line="480" w:lineRule="auto"/>
        <w:rPr>
          <w:rFonts w:ascii="Times New Roman" w:eastAsia="Times New Roman" w:hAnsi="Times New Roman" w:cs="Times New Roman"/>
          <w:sz w:val="24"/>
          <w:szCs w:val="24"/>
        </w:rPr>
      </w:pPr>
    </w:p>
    <w:p w14:paraId="00000028" w14:textId="77777777" w:rsidR="00D65B70" w:rsidRDefault="00911652">
      <w:pPr>
        <w:pStyle w:val="Heading3"/>
        <w:spacing w:line="480" w:lineRule="auto"/>
        <w:rPr>
          <w:rFonts w:ascii="Times New Roman" w:eastAsia="Times New Roman" w:hAnsi="Times New Roman" w:cs="Times New Roman"/>
          <w:color w:val="000000"/>
          <w:sz w:val="24"/>
          <w:szCs w:val="24"/>
          <w:u w:val="single"/>
        </w:rPr>
      </w:pPr>
      <w:bookmarkStart w:id="2" w:name="_w38wscua25z0" w:colFirst="0" w:colLast="0"/>
      <w:bookmarkEnd w:id="2"/>
      <w:r>
        <w:rPr>
          <w:rFonts w:ascii="Times New Roman" w:eastAsia="Times New Roman" w:hAnsi="Times New Roman" w:cs="Times New Roman"/>
          <w:color w:val="000000"/>
          <w:sz w:val="24"/>
          <w:szCs w:val="24"/>
          <w:u w:val="single"/>
        </w:rPr>
        <w:t>Pre-Existing Framework</w:t>
      </w:r>
    </w:p>
    <w:p w14:paraId="00000029" w14:textId="14F0A6E0"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help with costs of updated septic system installation and repairs, Barnstable County Regional Government introduced a program called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offering loans to homeowners with varying interest rates. The loans can be used to install new septic systems, update pre-existing systems, or connect homes to new municipal sewage systems. While these loans are helpful for residents, the criteria for applicants is limited, with low interest rates restricted to single-family homes with </w:t>
      </w:r>
      <w:proofErr w:type="gramStart"/>
      <w:r>
        <w:rPr>
          <w:rFonts w:ascii="Times New Roman" w:eastAsia="Times New Roman" w:hAnsi="Times New Roman" w:cs="Times New Roman"/>
          <w:sz w:val="24"/>
          <w:szCs w:val="24"/>
        </w:rPr>
        <w:t>year round</w:t>
      </w:r>
      <w:proofErr w:type="gramEnd"/>
      <w:r>
        <w:rPr>
          <w:rFonts w:ascii="Times New Roman" w:eastAsia="Times New Roman" w:hAnsi="Times New Roman" w:cs="Times New Roman"/>
          <w:sz w:val="24"/>
          <w:szCs w:val="24"/>
        </w:rPr>
        <w:t xml:space="preserve"> occupancy. The loans also cannot be used for regular maintenance and are only applicable to installations and repairs. Officials have found that progress on connecting homes to the sewer systems is slow going, citing costs of services and lack of availability of installation specialists as the two major factors to this (Wood, 2026). </w:t>
      </w:r>
    </w:p>
    <w:p w14:paraId="0000002A" w14:textId="77777777"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supplement costs not covered by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individual towns have begun implementing programs to give out small loans to homeowners, funded by reallocating tax dollars. Wellfleet, a town near Provincetown, is offering grants up to $12,500 to make up the difference left from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While this is great news for the people of Wellfleet, not all Cape Cod towns are able to provide this service.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is a great resource for Cape Cod residents, but the nature of the eligibility requirements means that low income families, that may live in double-resident homes or don’t have funds to spare for maintenance, are left out. Residents also struggle with the lack of companies working with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finding themselves hard-pressed to set up the installation in the face of long wait times and unavailability. </w:t>
      </w:r>
    </w:p>
    <w:p w14:paraId="0000002B" w14:textId="77777777" w:rsidR="00D65B70" w:rsidRDefault="00911652">
      <w:pPr>
        <w:pStyle w:val="Heading3"/>
        <w:spacing w:line="480" w:lineRule="auto"/>
        <w:rPr>
          <w:rFonts w:ascii="Times New Roman" w:eastAsia="Times New Roman" w:hAnsi="Times New Roman" w:cs="Times New Roman"/>
          <w:color w:val="000000"/>
          <w:sz w:val="24"/>
          <w:szCs w:val="24"/>
          <w:u w:val="single"/>
        </w:rPr>
      </w:pPr>
      <w:bookmarkStart w:id="3" w:name="_4gqksrmlk3g5" w:colFirst="0" w:colLast="0"/>
      <w:bookmarkEnd w:id="3"/>
      <w:r>
        <w:rPr>
          <w:rFonts w:ascii="Times New Roman" w:eastAsia="Times New Roman" w:hAnsi="Times New Roman" w:cs="Times New Roman"/>
          <w:color w:val="000000"/>
          <w:sz w:val="24"/>
          <w:szCs w:val="24"/>
          <w:u w:val="single"/>
        </w:rPr>
        <w:t xml:space="preserve">Grants to Supplement </w:t>
      </w:r>
      <w:proofErr w:type="spellStart"/>
      <w:r>
        <w:rPr>
          <w:rFonts w:ascii="Times New Roman" w:eastAsia="Times New Roman" w:hAnsi="Times New Roman" w:cs="Times New Roman"/>
          <w:color w:val="000000"/>
          <w:sz w:val="24"/>
          <w:szCs w:val="24"/>
          <w:u w:val="single"/>
        </w:rPr>
        <w:t>Aquifund</w:t>
      </w:r>
      <w:proofErr w:type="spellEnd"/>
      <w:r>
        <w:rPr>
          <w:rFonts w:ascii="Times New Roman" w:eastAsia="Times New Roman" w:hAnsi="Times New Roman" w:cs="Times New Roman"/>
          <w:color w:val="000000"/>
          <w:sz w:val="24"/>
          <w:szCs w:val="24"/>
          <w:u w:val="single"/>
        </w:rPr>
        <w:t xml:space="preserve"> Loans</w:t>
      </w:r>
    </w:p>
    <w:p w14:paraId="0000002C" w14:textId="77777777"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adding to the pre-existing framework of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funding, Cape Cod residents would be able to achieve better environmental and physical health, without the financial burden. To make improvements to the program, we can look to other states’ solutions. Suffolk County, New York provides grants up to $25,000 for installation of I/A systems under the Septic Improvement Program (SIP). This funding comes from the Environmental Facilities Corporation, New York State grants, and taxes paid by homeowners. Local legislators advocated for increased funding from the state to focus on Suffolk County septic upgrades, as they were facing similar challenges as residents on Cape Cod: increased eutrophication, unsafe drinking water, and the degradation of keystone species. Alongside providing more funding, the SIP is more accessible to homeowners. Properties that are considered multi-family are candidates for the grant program, and homeowners are provided with a pre-approved list of certified installation companies and individuals. This information streamlines the process of replacement, and cuts down on time spent searching for an installer. </w:t>
      </w:r>
    </w:p>
    <w:p w14:paraId="0000002D" w14:textId="77777777"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Maine offers the Small Community Grant Program (SCG) to help control water pollution through providing funding to municipalities. While individuals are not able to apply, their municipalities may apply on their behalf. The SCG Program </w:t>
      </w:r>
      <w:proofErr w:type="gramStart"/>
      <w:r>
        <w:rPr>
          <w:rFonts w:ascii="Times New Roman" w:eastAsia="Times New Roman" w:hAnsi="Times New Roman" w:cs="Times New Roman"/>
          <w:sz w:val="24"/>
          <w:szCs w:val="24"/>
        </w:rPr>
        <w:t>provides assistance</w:t>
      </w:r>
      <w:proofErr w:type="gramEnd"/>
      <w:r>
        <w:rPr>
          <w:rFonts w:ascii="Times New Roman" w:eastAsia="Times New Roman" w:hAnsi="Times New Roman" w:cs="Times New Roman"/>
          <w:sz w:val="24"/>
          <w:szCs w:val="24"/>
        </w:rPr>
        <w:t xml:space="preserve"> in another area of septic tank replacement: design and correlated construction. Rather than only directly funding the replacement, SCG funds expenses that may not be considered, including system design, external plumbing, connecting new systems to existing infrastructure, and advertising efforts for any other funding </w:t>
      </w:r>
      <w:proofErr w:type="spellStart"/>
      <w:r>
        <w:rPr>
          <w:rFonts w:ascii="Times New Roman" w:eastAsia="Times New Roman" w:hAnsi="Times New Roman" w:cs="Times New Roman"/>
          <w:sz w:val="24"/>
          <w:szCs w:val="24"/>
        </w:rPr>
        <w:t>sourcers</w:t>
      </w:r>
      <w:proofErr w:type="spellEnd"/>
      <w:r>
        <w:rPr>
          <w:rFonts w:ascii="Times New Roman" w:eastAsia="Times New Roman" w:hAnsi="Times New Roman" w:cs="Times New Roman"/>
          <w:sz w:val="24"/>
          <w:szCs w:val="24"/>
        </w:rPr>
        <w:t xml:space="preserve">. This approach ensures that homeowners will be able afford all costs that come with septic system replacement. </w:t>
      </w:r>
    </w:p>
    <w:p w14:paraId="0000002E" w14:textId="77777777"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these programs, we can learn how to better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Officials share that the program lacks support due to unavailability of septic tank installation professionals and costs that are still too high with the loans granted. In changing from a loan system to a mixed system of loans and grants, the program would be able to support more homeowners, especially those who are unable to repay a loan with costs up to $20,000. Expanding the program to include multi-family homes and part-time residences would also benefit the community, particularly those who struggle the most with affording the cost of septic system care. With the population of Cape Cod almost doubling in the summer season, it is unreasonable to ignore seasonal homes due to their volume. Similarly, opening up funding for operations besides replacement, such as maintenance and inspections, ensures that septic systems are getting the attention they require to ensure the protection of the watershed and coastal ecosystems. </w:t>
      </w:r>
    </w:p>
    <w:p w14:paraId="0000002F" w14:textId="77777777" w:rsidR="00D65B70" w:rsidRDefault="0091165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expanding the </w:t>
      </w:r>
      <w:proofErr w:type="spellStart"/>
      <w:r>
        <w:rPr>
          <w:rFonts w:ascii="Times New Roman" w:eastAsia="Times New Roman" w:hAnsi="Times New Roman" w:cs="Times New Roman"/>
          <w:sz w:val="24"/>
          <w:szCs w:val="24"/>
        </w:rPr>
        <w:t>Aquifund</w:t>
      </w:r>
      <w:proofErr w:type="spellEnd"/>
      <w:r>
        <w:rPr>
          <w:rFonts w:ascii="Times New Roman" w:eastAsia="Times New Roman" w:hAnsi="Times New Roman" w:cs="Times New Roman"/>
          <w:sz w:val="24"/>
          <w:szCs w:val="24"/>
        </w:rPr>
        <w:t xml:space="preserve"> program, we can ensure that community health in Barnstable County is protected. Recent funding increases allow room for grants to replace loans for eligible applicants, and broaden the uses of the funding. An expansion of applications will also appeal to septic system management companies, who would be given more opportunity to grow their </w:t>
      </w:r>
      <w:r>
        <w:rPr>
          <w:rFonts w:ascii="Times New Roman" w:eastAsia="Times New Roman" w:hAnsi="Times New Roman" w:cs="Times New Roman"/>
          <w:sz w:val="24"/>
          <w:szCs w:val="24"/>
        </w:rPr>
        <w:lastRenderedPageBreak/>
        <w:t xml:space="preserve">businesses. With these </w:t>
      </w:r>
      <w:bookmarkStart w:id="4" w:name="_GoBack"/>
      <w:r>
        <w:rPr>
          <w:rFonts w:ascii="Times New Roman" w:eastAsia="Times New Roman" w:hAnsi="Times New Roman" w:cs="Times New Roman"/>
          <w:sz w:val="24"/>
          <w:szCs w:val="24"/>
        </w:rPr>
        <w:t>possible e</w:t>
      </w:r>
      <w:bookmarkEnd w:id="4"/>
      <w:r>
        <w:rPr>
          <w:rFonts w:ascii="Times New Roman" w:eastAsia="Times New Roman" w:hAnsi="Times New Roman" w:cs="Times New Roman"/>
          <w:sz w:val="24"/>
          <w:szCs w:val="24"/>
        </w:rPr>
        <w:t xml:space="preserve">xpansions, nitrogen deposition in Cape Cod waterways and groundwater would greatly decrease, helping diminish the effects on local ecosystems. While excess nitrogen remains in waterways for multiple years after it enters them, reducing the input will help decrease eutrophication and the dangers of unsafe drinking water for residents. </w:t>
      </w:r>
    </w:p>
    <w:p w14:paraId="00000030" w14:textId="77777777" w:rsidR="00D65B70" w:rsidRDefault="00D65B70">
      <w:pPr>
        <w:spacing w:line="480" w:lineRule="auto"/>
        <w:ind w:firstLine="720"/>
        <w:rPr>
          <w:rFonts w:ascii="Times New Roman" w:eastAsia="Times New Roman" w:hAnsi="Times New Roman" w:cs="Times New Roman"/>
          <w:sz w:val="24"/>
          <w:szCs w:val="24"/>
        </w:rPr>
      </w:pPr>
    </w:p>
    <w:p w14:paraId="00000031" w14:textId="77777777" w:rsidR="00D65B70" w:rsidRDefault="00D65B70">
      <w:pPr>
        <w:spacing w:line="480" w:lineRule="auto"/>
        <w:ind w:firstLine="720"/>
        <w:rPr>
          <w:rFonts w:ascii="Times New Roman" w:eastAsia="Times New Roman" w:hAnsi="Times New Roman" w:cs="Times New Roman"/>
          <w:sz w:val="24"/>
          <w:szCs w:val="24"/>
        </w:rPr>
      </w:pPr>
    </w:p>
    <w:p w14:paraId="00000032" w14:textId="77777777" w:rsidR="00D65B70" w:rsidRDefault="00D65B70">
      <w:pPr>
        <w:spacing w:line="480" w:lineRule="auto"/>
        <w:ind w:firstLine="720"/>
        <w:rPr>
          <w:rFonts w:ascii="Times New Roman" w:eastAsia="Times New Roman" w:hAnsi="Times New Roman" w:cs="Times New Roman"/>
          <w:sz w:val="24"/>
          <w:szCs w:val="24"/>
        </w:rPr>
      </w:pPr>
    </w:p>
    <w:p w14:paraId="00000033" w14:textId="77777777" w:rsidR="00D65B70" w:rsidRDefault="00D65B70">
      <w:pPr>
        <w:spacing w:line="480" w:lineRule="auto"/>
        <w:ind w:firstLine="720"/>
        <w:rPr>
          <w:rFonts w:ascii="Times New Roman" w:eastAsia="Times New Roman" w:hAnsi="Times New Roman" w:cs="Times New Roman"/>
          <w:sz w:val="24"/>
          <w:szCs w:val="24"/>
        </w:rPr>
      </w:pPr>
    </w:p>
    <w:p w14:paraId="00000034" w14:textId="77777777" w:rsidR="00D65B70" w:rsidRDefault="00D65B70">
      <w:pPr>
        <w:spacing w:line="480" w:lineRule="auto"/>
        <w:ind w:firstLine="720"/>
        <w:rPr>
          <w:rFonts w:ascii="Times New Roman" w:eastAsia="Times New Roman" w:hAnsi="Times New Roman" w:cs="Times New Roman"/>
          <w:sz w:val="24"/>
          <w:szCs w:val="24"/>
        </w:rPr>
      </w:pPr>
    </w:p>
    <w:p w14:paraId="00000035" w14:textId="77777777" w:rsidR="00D65B70" w:rsidRDefault="00D65B70">
      <w:pPr>
        <w:spacing w:line="480" w:lineRule="auto"/>
        <w:ind w:firstLine="720"/>
        <w:rPr>
          <w:rFonts w:ascii="Times New Roman" w:eastAsia="Times New Roman" w:hAnsi="Times New Roman" w:cs="Times New Roman"/>
          <w:sz w:val="24"/>
          <w:szCs w:val="24"/>
        </w:rPr>
      </w:pPr>
    </w:p>
    <w:p w14:paraId="00000036" w14:textId="77777777" w:rsidR="00D65B70" w:rsidRDefault="00D65B70">
      <w:pPr>
        <w:spacing w:line="480" w:lineRule="auto"/>
        <w:ind w:firstLine="720"/>
        <w:rPr>
          <w:rFonts w:ascii="Times New Roman" w:eastAsia="Times New Roman" w:hAnsi="Times New Roman" w:cs="Times New Roman"/>
          <w:sz w:val="24"/>
          <w:szCs w:val="24"/>
        </w:rPr>
      </w:pPr>
    </w:p>
    <w:p w14:paraId="00000037" w14:textId="77777777" w:rsidR="00D65B70" w:rsidRDefault="00D65B70">
      <w:pPr>
        <w:spacing w:line="480" w:lineRule="auto"/>
        <w:ind w:firstLine="720"/>
        <w:rPr>
          <w:rFonts w:ascii="Times New Roman" w:eastAsia="Times New Roman" w:hAnsi="Times New Roman" w:cs="Times New Roman"/>
          <w:sz w:val="24"/>
          <w:szCs w:val="24"/>
        </w:rPr>
      </w:pPr>
    </w:p>
    <w:p w14:paraId="00000038" w14:textId="77777777" w:rsidR="00D65B70" w:rsidRDefault="00D65B70">
      <w:pPr>
        <w:spacing w:line="480" w:lineRule="auto"/>
        <w:ind w:firstLine="720"/>
        <w:rPr>
          <w:rFonts w:ascii="Times New Roman" w:eastAsia="Times New Roman" w:hAnsi="Times New Roman" w:cs="Times New Roman"/>
          <w:sz w:val="24"/>
          <w:szCs w:val="24"/>
        </w:rPr>
      </w:pPr>
    </w:p>
    <w:p w14:paraId="00000039" w14:textId="77777777" w:rsidR="00D65B70" w:rsidRDefault="00D65B70">
      <w:pPr>
        <w:spacing w:line="480" w:lineRule="auto"/>
        <w:ind w:firstLine="720"/>
        <w:rPr>
          <w:rFonts w:ascii="Times New Roman" w:eastAsia="Times New Roman" w:hAnsi="Times New Roman" w:cs="Times New Roman"/>
          <w:sz w:val="24"/>
          <w:szCs w:val="24"/>
        </w:rPr>
      </w:pPr>
    </w:p>
    <w:p w14:paraId="0000003A" w14:textId="77777777" w:rsidR="00D65B70" w:rsidRDefault="00D65B70">
      <w:pPr>
        <w:spacing w:line="480" w:lineRule="auto"/>
        <w:ind w:firstLine="720"/>
        <w:rPr>
          <w:rFonts w:ascii="Times New Roman" w:eastAsia="Times New Roman" w:hAnsi="Times New Roman" w:cs="Times New Roman"/>
          <w:sz w:val="24"/>
          <w:szCs w:val="24"/>
        </w:rPr>
      </w:pPr>
    </w:p>
    <w:p w14:paraId="0000003B" w14:textId="77777777" w:rsidR="00D65B70" w:rsidRDefault="00D65B70">
      <w:pPr>
        <w:spacing w:line="480" w:lineRule="auto"/>
        <w:ind w:firstLine="720"/>
        <w:rPr>
          <w:rFonts w:ascii="Times New Roman" w:eastAsia="Times New Roman" w:hAnsi="Times New Roman" w:cs="Times New Roman"/>
          <w:sz w:val="24"/>
          <w:szCs w:val="24"/>
        </w:rPr>
      </w:pPr>
    </w:p>
    <w:p w14:paraId="0000003C" w14:textId="77777777" w:rsidR="00D65B70" w:rsidRDefault="00D65B70">
      <w:pPr>
        <w:spacing w:line="480" w:lineRule="auto"/>
        <w:ind w:firstLine="720"/>
        <w:rPr>
          <w:rFonts w:ascii="Times New Roman" w:eastAsia="Times New Roman" w:hAnsi="Times New Roman" w:cs="Times New Roman"/>
          <w:sz w:val="24"/>
          <w:szCs w:val="24"/>
        </w:rPr>
      </w:pPr>
    </w:p>
    <w:p w14:paraId="0000003D" w14:textId="77777777" w:rsidR="00D65B70" w:rsidRDefault="00D65B70">
      <w:pPr>
        <w:spacing w:line="480" w:lineRule="auto"/>
        <w:ind w:firstLine="720"/>
        <w:rPr>
          <w:rFonts w:ascii="Times New Roman" w:eastAsia="Times New Roman" w:hAnsi="Times New Roman" w:cs="Times New Roman"/>
          <w:sz w:val="24"/>
          <w:szCs w:val="24"/>
        </w:rPr>
      </w:pPr>
    </w:p>
    <w:p w14:paraId="0000003E" w14:textId="77777777" w:rsidR="00D65B70" w:rsidRDefault="00D65B70">
      <w:pPr>
        <w:spacing w:line="480" w:lineRule="auto"/>
        <w:ind w:firstLine="720"/>
        <w:rPr>
          <w:rFonts w:ascii="Times New Roman" w:eastAsia="Times New Roman" w:hAnsi="Times New Roman" w:cs="Times New Roman"/>
          <w:sz w:val="24"/>
          <w:szCs w:val="24"/>
        </w:rPr>
      </w:pPr>
    </w:p>
    <w:p w14:paraId="0000003F" w14:textId="77777777" w:rsidR="00D65B70" w:rsidRDefault="00D65B70">
      <w:pPr>
        <w:spacing w:line="480" w:lineRule="auto"/>
      </w:pPr>
    </w:p>
    <w:p w14:paraId="00000040" w14:textId="77777777" w:rsidR="00D65B70" w:rsidRDefault="00D65B70">
      <w:pPr>
        <w:spacing w:line="480" w:lineRule="auto"/>
      </w:pPr>
    </w:p>
    <w:p w14:paraId="00000041" w14:textId="77777777" w:rsidR="00D65B70" w:rsidRDefault="00D65B70">
      <w:pPr>
        <w:spacing w:line="480" w:lineRule="auto"/>
      </w:pPr>
    </w:p>
    <w:p w14:paraId="00000042" w14:textId="77777777" w:rsidR="00D65B70" w:rsidRDefault="00911652">
      <w:pPr>
        <w:pStyle w:val="Heading3"/>
        <w:spacing w:line="480" w:lineRule="auto"/>
        <w:jc w:val="center"/>
        <w:rPr>
          <w:rFonts w:ascii="Times New Roman" w:eastAsia="Times New Roman" w:hAnsi="Times New Roman" w:cs="Times New Roman"/>
          <w:sz w:val="24"/>
          <w:szCs w:val="24"/>
          <w:u w:val="single"/>
        </w:rPr>
      </w:pPr>
      <w:bookmarkStart w:id="5" w:name="_ey1hgs3qqn7c" w:colFirst="0" w:colLast="0"/>
      <w:bookmarkEnd w:id="5"/>
      <w:r>
        <w:rPr>
          <w:rFonts w:ascii="Times New Roman" w:eastAsia="Times New Roman" w:hAnsi="Times New Roman" w:cs="Times New Roman"/>
          <w:sz w:val="24"/>
          <w:szCs w:val="24"/>
          <w:u w:val="single"/>
        </w:rPr>
        <w:lastRenderedPageBreak/>
        <w:t>References</w:t>
      </w:r>
    </w:p>
    <w:p w14:paraId="00000043"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Barnstable County, Massachusetts</w:t>
      </w:r>
      <w:r>
        <w:rPr>
          <w:rFonts w:ascii="Times New Roman" w:eastAsia="Times New Roman" w:hAnsi="Times New Roman" w:cs="Times New Roman"/>
          <w:sz w:val="24"/>
          <w:szCs w:val="24"/>
        </w:rPr>
        <w:t>. (2024). Census Bureau. Retrieved April 14, 2026, from https://www.census.gov/quickfacts/fact/table/barnstablecountymassachusetts/PST045224</w:t>
      </w:r>
    </w:p>
    <w:p w14:paraId="00000044"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Bowen, J. L., &amp; </w:t>
      </w:r>
      <w:proofErr w:type="spellStart"/>
      <w:r>
        <w:rPr>
          <w:rFonts w:ascii="Times New Roman" w:eastAsia="Times New Roman" w:hAnsi="Times New Roman" w:cs="Times New Roman"/>
          <w:sz w:val="24"/>
          <w:szCs w:val="24"/>
        </w:rPr>
        <w:t>Valiela</w:t>
      </w:r>
      <w:proofErr w:type="spellEnd"/>
      <w:r>
        <w:rPr>
          <w:rFonts w:ascii="Times New Roman" w:eastAsia="Times New Roman" w:hAnsi="Times New Roman" w:cs="Times New Roman"/>
          <w:sz w:val="24"/>
          <w:szCs w:val="24"/>
        </w:rPr>
        <w:t xml:space="preserve">, I. (2001). The ecological effects of urbanization of coastal watersheds: historical increases in nitrogen loads and eutrophication of Waquoit Bay estuaries. </w:t>
      </w:r>
      <w:r>
        <w:rPr>
          <w:rFonts w:ascii="Times New Roman" w:eastAsia="Times New Roman" w:hAnsi="Times New Roman" w:cs="Times New Roman"/>
          <w:i/>
          <w:iCs/>
          <w:sz w:val="24"/>
          <w:szCs w:val="24"/>
        </w:rPr>
        <w:t>CANADIAN JOURNAL OF FISHERIES AND AQUATIC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58</w:t>
      </w:r>
      <w:r>
        <w:rPr>
          <w:rFonts w:ascii="Times New Roman" w:eastAsia="Times New Roman" w:hAnsi="Times New Roman" w:cs="Times New Roman"/>
          <w:sz w:val="24"/>
          <w:szCs w:val="24"/>
        </w:rPr>
        <w:t>(8), 1489-1500. Web of Science. 10.1139/cjfas-58-8-1489</w:t>
      </w:r>
    </w:p>
    <w:p w14:paraId="00000045" w14:textId="77777777" w:rsidR="00D65B70" w:rsidRDefault="00911652">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Erban</w:t>
      </w:r>
      <w:proofErr w:type="spellEnd"/>
      <w:r>
        <w:rPr>
          <w:rFonts w:ascii="Times New Roman" w:eastAsia="Times New Roman" w:hAnsi="Times New Roman" w:cs="Times New Roman"/>
          <w:sz w:val="24"/>
          <w:szCs w:val="24"/>
        </w:rPr>
        <w:t xml:space="preserve">, L. E., Wigginton, S. K., </w:t>
      </w:r>
      <w:proofErr w:type="spellStart"/>
      <w:r>
        <w:rPr>
          <w:rFonts w:ascii="Times New Roman" w:eastAsia="Times New Roman" w:hAnsi="Times New Roman" w:cs="Times New Roman"/>
          <w:sz w:val="24"/>
          <w:szCs w:val="24"/>
        </w:rPr>
        <w:t>Baumgaertel</w:t>
      </w:r>
      <w:proofErr w:type="spellEnd"/>
      <w:r>
        <w:rPr>
          <w:rFonts w:ascii="Times New Roman" w:eastAsia="Times New Roman" w:hAnsi="Times New Roman" w:cs="Times New Roman"/>
          <w:sz w:val="24"/>
          <w:szCs w:val="24"/>
        </w:rPr>
        <w:t xml:space="preserve">, B., Horsley, B., </w:t>
      </w:r>
      <w:proofErr w:type="spellStart"/>
      <w:r>
        <w:rPr>
          <w:rFonts w:ascii="Times New Roman" w:eastAsia="Times New Roman" w:hAnsi="Times New Roman" w:cs="Times New Roman"/>
          <w:sz w:val="24"/>
          <w:szCs w:val="24"/>
        </w:rPr>
        <w:t>McCobb</w:t>
      </w:r>
      <w:proofErr w:type="spellEnd"/>
      <w:r>
        <w:rPr>
          <w:rFonts w:ascii="Times New Roman" w:eastAsia="Times New Roman" w:hAnsi="Times New Roman" w:cs="Times New Roman"/>
          <w:sz w:val="24"/>
          <w:szCs w:val="24"/>
        </w:rPr>
        <w:t xml:space="preserve">, T. D., Crocker, Z., Horsley, S., &amp; Gleason, T. R. (2024). Reducing wastewater nitrogen loading by &gt;90% with carbon-amended septic systems: A field demonstration in Barnstable (Cape Cod), Massachusetts. </w:t>
      </w:r>
      <w:r>
        <w:rPr>
          <w:rFonts w:ascii="Times New Roman" w:eastAsia="Times New Roman" w:hAnsi="Times New Roman" w:cs="Times New Roman"/>
          <w:i/>
          <w:iCs/>
          <w:sz w:val="24"/>
          <w:szCs w:val="24"/>
        </w:rPr>
        <w:t>Journal of Environmental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370</w:t>
      </w:r>
      <w:r>
        <w:rPr>
          <w:rFonts w:ascii="Times New Roman" w:eastAsia="Times New Roman" w:hAnsi="Times New Roman" w:cs="Times New Roman"/>
          <w:sz w:val="24"/>
          <w:szCs w:val="24"/>
        </w:rPr>
        <w:t>. Science Direct.</w:t>
      </w:r>
    </w:p>
    <w:p w14:paraId="00000046"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Innovative / Alternative (I/A) Septic System</w:t>
      </w:r>
      <w:r>
        <w:rPr>
          <w:rFonts w:ascii="Times New Roman" w:eastAsia="Times New Roman" w:hAnsi="Times New Roman" w:cs="Times New Roman"/>
          <w:sz w:val="24"/>
          <w:szCs w:val="24"/>
        </w:rPr>
        <w:t>. (2025, January). Cape Cod Commission. Retrieved April 15, 2026, from https://capecodcommission.org/resource-library/file?url=/dept/commission/team/Website_Resources/freshwater/strategies/Freshwater%20Strategy%20Fact%20Sheet%20-%20IA%20Septic%20System.pdf</w:t>
      </w:r>
    </w:p>
    <w:p w14:paraId="00000047" w14:textId="77777777" w:rsidR="00D65B70" w:rsidRDefault="00911652">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McCobb</w:t>
      </w:r>
      <w:proofErr w:type="spellEnd"/>
      <w:r>
        <w:rPr>
          <w:rFonts w:ascii="Times New Roman" w:eastAsia="Times New Roman" w:hAnsi="Times New Roman" w:cs="Times New Roman"/>
          <w:sz w:val="24"/>
          <w:szCs w:val="24"/>
        </w:rPr>
        <w:t xml:space="preserve">, T. D., LeBlanc, D. R., </w:t>
      </w:r>
      <w:proofErr w:type="spellStart"/>
      <w:r>
        <w:rPr>
          <w:rFonts w:ascii="Times New Roman" w:eastAsia="Times New Roman" w:hAnsi="Times New Roman" w:cs="Times New Roman"/>
          <w:sz w:val="24"/>
          <w:szCs w:val="24"/>
        </w:rPr>
        <w:t>Barbaro</w:t>
      </w:r>
      <w:proofErr w:type="spellEnd"/>
      <w:r>
        <w:rPr>
          <w:rFonts w:ascii="Times New Roman" w:eastAsia="Times New Roman" w:hAnsi="Times New Roman" w:cs="Times New Roman"/>
          <w:sz w:val="24"/>
          <w:szCs w:val="24"/>
        </w:rPr>
        <w:t xml:space="preserve">, J. R., &amp; </w:t>
      </w:r>
      <w:proofErr w:type="spellStart"/>
      <w:r>
        <w:rPr>
          <w:rFonts w:ascii="Times New Roman" w:eastAsia="Times New Roman" w:hAnsi="Times New Roman" w:cs="Times New Roman"/>
          <w:sz w:val="24"/>
          <w:szCs w:val="24"/>
        </w:rPr>
        <w:t>Belaval</w:t>
      </w:r>
      <w:proofErr w:type="spellEnd"/>
      <w:r>
        <w:rPr>
          <w:rFonts w:ascii="Times New Roman" w:eastAsia="Times New Roman" w:hAnsi="Times New Roman" w:cs="Times New Roman"/>
          <w:sz w:val="24"/>
          <w:szCs w:val="24"/>
        </w:rPr>
        <w:t>, M. (2025). Linking stream-reach nitrogen loads and groundwater “</w:t>
      </w:r>
      <w:proofErr w:type="spellStart"/>
      <w:r>
        <w:rPr>
          <w:rFonts w:ascii="Times New Roman" w:eastAsia="Times New Roman" w:hAnsi="Times New Roman" w:cs="Times New Roman"/>
          <w:sz w:val="24"/>
          <w:szCs w:val="24"/>
        </w:rPr>
        <w:t>reachsheds</w:t>
      </w:r>
      <w:proofErr w:type="spellEnd"/>
      <w:r>
        <w:rPr>
          <w:rFonts w:ascii="Times New Roman" w:eastAsia="Times New Roman" w:hAnsi="Times New Roman" w:cs="Times New Roman"/>
          <w:sz w:val="24"/>
          <w:szCs w:val="24"/>
        </w:rPr>
        <w:t xml:space="preserve">” to inform wastewater-nitrogen management actions, Cape Cod, Massachusetts. </w:t>
      </w:r>
      <w:r>
        <w:rPr>
          <w:rFonts w:ascii="Times New Roman" w:eastAsia="Times New Roman" w:hAnsi="Times New Roman" w:cs="Times New Roman"/>
          <w:i/>
          <w:iCs/>
          <w:sz w:val="24"/>
          <w:szCs w:val="24"/>
        </w:rPr>
        <w:t>Journal of Hydrology: Regional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62</w:t>
      </w:r>
      <w:r>
        <w:rPr>
          <w:rFonts w:ascii="Times New Roman" w:eastAsia="Times New Roman" w:hAnsi="Times New Roman" w:cs="Times New Roman"/>
          <w:sz w:val="24"/>
          <w:szCs w:val="24"/>
        </w:rPr>
        <w:t>. Science Direct.</w:t>
      </w:r>
    </w:p>
    <w:p w14:paraId="00000048"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Nixon, S. W. (1995). Coastal marine eutrophication: A definition, social causes, and future concerns. </w:t>
      </w:r>
      <w:r>
        <w:rPr>
          <w:rFonts w:ascii="Times New Roman" w:eastAsia="Times New Roman" w:hAnsi="Times New Roman" w:cs="Times New Roman"/>
          <w:i/>
          <w:iCs/>
          <w:sz w:val="24"/>
          <w:szCs w:val="24"/>
        </w:rPr>
        <w:t>Ophelia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41</w:t>
      </w:r>
      <w:r>
        <w:rPr>
          <w:rFonts w:ascii="Times New Roman" w:eastAsia="Times New Roman" w:hAnsi="Times New Roman" w:cs="Times New Roman"/>
          <w:sz w:val="24"/>
          <w:szCs w:val="24"/>
        </w:rPr>
        <w:t>(1), 199-219. Google Scholar.</w:t>
      </w:r>
    </w:p>
    <w:p w14:paraId="00000049" w14:textId="77777777" w:rsidR="00D65B70" w:rsidRDefault="00911652">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Schaider</w:t>
      </w:r>
      <w:proofErr w:type="spellEnd"/>
      <w:r>
        <w:rPr>
          <w:rFonts w:ascii="Times New Roman" w:eastAsia="Times New Roman" w:hAnsi="Times New Roman" w:cs="Times New Roman"/>
          <w:sz w:val="24"/>
          <w:szCs w:val="24"/>
        </w:rPr>
        <w:t xml:space="preserve">, L. A., Ackerman, J. M., &amp; </w:t>
      </w:r>
      <w:proofErr w:type="spellStart"/>
      <w:r>
        <w:rPr>
          <w:rFonts w:ascii="Times New Roman" w:eastAsia="Times New Roman" w:hAnsi="Times New Roman" w:cs="Times New Roman"/>
          <w:sz w:val="24"/>
          <w:szCs w:val="24"/>
        </w:rPr>
        <w:t>Rudel</w:t>
      </w:r>
      <w:proofErr w:type="spellEnd"/>
      <w:r>
        <w:rPr>
          <w:rFonts w:ascii="Times New Roman" w:eastAsia="Times New Roman" w:hAnsi="Times New Roman" w:cs="Times New Roman"/>
          <w:sz w:val="24"/>
          <w:szCs w:val="24"/>
        </w:rPr>
        <w:t xml:space="preserve">, R. A. (2016). Septic systems as sources of organic wastewater compounds in domestic drinking water wells in a shallow sand and gravel aquifer. </w:t>
      </w:r>
      <w:r>
        <w:rPr>
          <w:rFonts w:ascii="Times New Roman" w:eastAsia="Times New Roman" w:hAnsi="Times New Roman" w:cs="Times New Roman"/>
          <w:i/>
          <w:iCs/>
          <w:sz w:val="24"/>
          <w:szCs w:val="24"/>
        </w:rPr>
        <w:t>Science of the Total Environment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547</w:t>
      </w:r>
      <w:r>
        <w:rPr>
          <w:rFonts w:ascii="Times New Roman" w:eastAsia="Times New Roman" w:hAnsi="Times New Roman" w:cs="Times New Roman"/>
          <w:sz w:val="24"/>
          <w:szCs w:val="24"/>
        </w:rPr>
        <w:t>, 470-481. Science Direct.</w:t>
      </w:r>
    </w:p>
    <w:p w14:paraId="0000004A"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310 CMR 15.000: Title 5 - The State Environmental Code, Title 5: Standard Requirements for the Siting, Construction, Inspection, Upgrade and Expansion of On-Site Sewage Treatment and Disposal Systems and for the Transport and Disposal of Septage</w:t>
      </w:r>
      <w:r>
        <w:rPr>
          <w:rFonts w:ascii="Times New Roman" w:eastAsia="Times New Roman" w:hAnsi="Times New Roman" w:cs="Times New Roman"/>
          <w:sz w:val="24"/>
          <w:szCs w:val="24"/>
        </w:rPr>
        <w:t>. (2023). Retrieved April 12, 2026, from https://www.mass.gov/doc/310-cmr-15000-title-5-of-the-state-environmental-code/download</w:t>
      </w:r>
    </w:p>
    <w:p w14:paraId="0000004B"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Understanding MassDEP’s proposed nitrogen reduction regulatory changes</w:t>
      </w:r>
      <w:r>
        <w:rPr>
          <w:rFonts w:ascii="Times New Roman" w:eastAsia="Times New Roman" w:hAnsi="Times New Roman" w:cs="Times New Roman"/>
          <w:sz w:val="24"/>
          <w:szCs w:val="24"/>
        </w:rPr>
        <w:t>. (2022, December 22). Cape Cod Commission. Retrieved April 12, 2026, from https://www.capecodcommission.org/about-us/newsroom/understanding-massdeps-proposed-nitrogen-reduction-regulatory-changes/</w:t>
      </w:r>
    </w:p>
    <w:p w14:paraId="0000004C"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Updated Understanding Cesspools, Title 5, and Innovative/Alternative (I/A) Septic Systems</w:t>
      </w:r>
      <w:r>
        <w:rPr>
          <w:rFonts w:ascii="Times New Roman" w:eastAsia="Times New Roman" w:hAnsi="Times New Roman" w:cs="Times New Roman"/>
          <w:sz w:val="24"/>
          <w:szCs w:val="24"/>
        </w:rPr>
        <w:t>. (2023). Updated Understanding Cesspools, Title 5, and Innovative/Alternative (I/A) Septic Systems</w:t>
      </w:r>
    </w:p>
    <w:p w14:paraId="0000004D" w14:textId="77777777" w:rsidR="00D65B70" w:rsidRDefault="00911652">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Wallender</w:t>
      </w:r>
      <w:proofErr w:type="spellEnd"/>
      <w:r>
        <w:rPr>
          <w:rFonts w:ascii="Times New Roman" w:eastAsia="Times New Roman" w:hAnsi="Times New Roman" w:cs="Times New Roman"/>
          <w:sz w:val="24"/>
          <w:szCs w:val="24"/>
        </w:rPr>
        <w:t xml:space="preserve">, E. K., Ailes, E. C., Yoder, J. S., Roberts, V. A., &amp; </w:t>
      </w:r>
      <w:proofErr w:type="spellStart"/>
      <w:r>
        <w:rPr>
          <w:rFonts w:ascii="Times New Roman" w:eastAsia="Times New Roman" w:hAnsi="Times New Roman" w:cs="Times New Roman"/>
          <w:sz w:val="24"/>
          <w:szCs w:val="24"/>
        </w:rPr>
        <w:t>Brunkard</w:t>
      </w:r>
      <w:proofErr w:type="spellEnd"/>
      <w:r>
        <w:rPr>
          <w:rFonts w:ascii="Times New Roman" w:eastAsia="Times New Roman" w:hAnsi="Times New Roman" w:cs="Times New Roman"/>
          <w:sz w:val="24"/>
          <w:szCs w:val="24"/>
        </w:rPr>
        <w:t xml:space="preserve">, J. M. (2013). Contributing Factors to Disease Outbreaks Associated with Untreated Groundwater. </w:t>
      </w:r>
      <w:r>
        <w:rPr>
          <w:rFonts w:ascii="Times New Roman" w:eastAsia="Times New Roman" w:hAnsi="Times New Roman" w:cs="Times New Roman"/>
          <w:i/>
          <w:iCs/>
          <w:sz w:val="24"/>
          <w:szCs w:val="24"/>
        </w:rPr>
        <w:t>Groundwater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52</w:t>
      </w:r>
      <w:r>
        <w:rPr>
          <w:rFonts w:ascii="Times New Roman" w:eastAsia="Times New Roman" w:hAnsi="Times New Roman" w:cs="Times New Roman"/>
          <w:sz w:val="24"/>
          <w:szCs w:val="24"/>
        </w:rPr>
        <w:t>(6), 886-897. Wiley. https://doi.org/10.1111/gwat.12121</w:t>
      </w:r>
    </w:p>
    <w:p w14:paraId="0000004E"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Why Maintain Your Septic System | US </w:t>
      </w:r>
      <w:proofErr w:type="gramStart"/>
      <w:r>
        <w:rPr>
          <w:rFonts w:ascii="Times New Roman" w:eastAsia="Times New Roman" w:hAnsi="Times New Roman" w:cs="Times New Roman"/>
          <w:i/>
          <w:iCs/>
          <w:sz w:val="24"/>
          <w:szCs w:val="24"/>
        </w:rPr>
        <w:t>EPA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(2026, March 11). EPA. Retrieved April 10, 2026, from https://www.epa.gov/septic/why-maintain-your-septic-system</w:t>
      </w:r>
    </w:p>
    <w:p w14:paraId="0000004F" w14:textId="77777777" w:rsidR="00D65B70" w:rsidRDefault="0091165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T. (2026, January 21). Officials: Lack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Progress In Sewer Connections Troubling. </w:t>
      </w:r>
      <w:r>
        <w:rPr>
          <w:rFonts w:ascii="Times New Roman" w:eastAsia="Times New Roman" w:hAnsi="Times New Roman" w:cs="Times New Roman"/>
          <w:i/>
          <w:iCs/>
          <w:sz w:val="24"/>
          <w:szCs w:val="24"/>
        </w:rPr>
        <w:t>The Cape Cod Chronicle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https://www.capecodchronicle.com/articles/3977/view/officials-lack-of-progress-in-sewer-connections-troubling</w:t>
      </w:r>
    </w:p>
    <w:p w14:paraId="00000050" w14:textId="77777777" w:rsidR="00D65B70" w:rsidRDefault="00D65B70">
      <w:pPr>
        <w:spacing w:line="480" w:lineRule="auto"/>
        <w:rPr>
          <w:rFonts w:ascii="Times New Roman" w:eastAsia="Times New Roman" w:hAnsi="Times New Roman" w:cs="Times New Roman"/>
          <w:sz w:val="24"/>
          <w:szCs w:val="24"/>
        </w:rPr>
      </w:pPr>
    </w:p>
    <w:sectPr w:rsidR="00D65B70">
      <w:headerReference w:type="defaul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F5E02" w14:textId="77777777" w:rsidR="00B20211" w:rsidRDefault="00B20211">
      <w:pPr>
        <w:spacing w:line="240" w:lineRule="auto"/>
      </w:pPr>
      <w:r>
        <w:separator/>
      </w:r>
    </w:p>
  </w:endnote>
  <w:endnote w:type="continuationSeparator" w:id="0">
    <w:p w14:paraId="25575917" w14:textId="77777777" w:rsidR="00B20211" w:rsidRDefault="00B202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59F2FBD-037D-40C1-A6A7-A1898694228F}"/>
  </w:font>
  <w:font w:name="Calibri">
    <w:panose1 w:val="020F0502020204030204"/>
    <w:charset w:val="00"/>
    <w:family w:val="swiss"/>
    <w:pitch w:val="variable"/>
    <w:sig w:usb0="E4002EFF" w:usb1="C000247B" w:usb2="00000009" w:usb3="00000000" w:csb0="000001FF" w:csb1="00000000"/>
    <w:embedRegular r:id="rId2" w:fontKey="{CC0509C5-8666-4B8B-BD62-91A275A5C3D8}"/>
  </w:font>
  <w:font w:name="Cambria">
    <w:panose1 w:val="02040503050406030204"/>
    <w:charset w:val="00"/>
    <w:family w:val="roman"/>
    <w:pitch w:val="variable"/>
    <w:sig w:usb0="E00006FF" w:usb1="420024FF" w:usb2="02000000" w:usb3="00000000" w:csb0="0000019F" w:csb1="00000000"/>
    <w:embedRegular r:id="rId3" w:fontKey="{CD1C4AAC-D012-487C-B180-79970375AE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2F6AF" w14:textId="77777777" w:rsidR="00B20211" w:rsidRDefault="00B20211">
      <w:pPr>
        <w:spacing w:line="240" w:lineRule="auto"/>
      </w:pPr>
      <w:r>
        <w:separator/>
      </w:r>
    </w:p>
  </w:footnote>
  <w:footnote w:type="continuationSeparator" w:id="0">
    <w:p w14:paraId="27360C29" w14:textId="77777777" w:rsidR="00B20211" w:rsidRDefault="00B202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1" w14:textId="4BB55705" w:rsidR="00D65B70" w:rsidRDefault="00911652">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C76BE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70"/>
    <w:rsid w:val="00911652"/>
    <w:rsid w:val="00A74F72"/>
    <w:rsid w:val="00B20211"/>
    <w:rsid w:val="00BC1797"/>
    <w:rsid w:val="00C76BE9"/>
    <w:rsid w:val="00D3661A"/>
    <w:rsid w:val="00D65B70"/>
    <w:rsid w:val="00DA3263"/>
    <w:rsid w:val="00EB2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77AF7"/>
  <w15:docId w15:val="{DAD098E1-AC66-4410-BE62-5568842DD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C76BE9"/>
    <w:rPr>
      <w:sz w:val="16"/>
      <w:szCs w:val="16"/>
    </w:rPr>
  </w:style>
  <w:style w:type="paragraph" w:styleId="CommentText">
    <w:name w:val="annotation text"/>
    <w:basedOn w:val="Normal"/>
    <w:link w:val="CommentTextChar"/>
    <w:uiPriority w:val="99"/>
    <w:semiHidden/>
    <w:unhideWhenUsed/>
    <w:rsid w:val="00C76BE9"/>
    <w:pPr>
      <w:spacing w:line="240" w:lineRule="auto"/>
    </w:pPr>
    <w:rPr>
      <w:sz w:val="20"/>
      <w:szCs w:val="20"/>
    </w:rPr>
  </w:style>
  <w:style w:type="character" w:customStyle="1" w:styleId="CommentTextChar">
    <w:name w:val="Comment Text Char"/>
    <w:basedOn w:val="DefaultParagraphFont"/>
    <w:link w:val="CommentText"/>
    <w:uiPriority w:val="99"/>
    <w:semiHidden/>
    <w:rsid w:val="00C76BE9"/>
    <w:rPr>
      <w:sz w:val="20"/>
      <w:szCs w:val="20"/>
    </w:rPr>
  </w:style>
  <w:style w:type="paragraph" w:styleId="CommentSubject">
    <w:name w:val="annotation subject"/>
    <w:basedOn w:val="CommentText"/>
    <w:next w:val="CommentText"/>
    <w:link w:val="CommentSubjectChar"/>
    <w:uiPriority w:val="99"/>
    <w:semiHidden/>
    <w:unhideWhenUsed/>
    <w:rsid w:val="00C76BE9"/>
    <w:rPr>
      <w:b/>
      <w:bCs/>
    </w:rPr>
  </w:style>
  <w:style w:type="character" w:customStyle="1" w:styleId="CommentSubjectChar">
    <w:name w:val="Comment Subject Char"/>
    <w:basedOn w:val="CommentTextChar"/>
    <w:link w:val="CommentSubject"/>
    <w:uiPriority w:val="99"/>
    <w:semiHidden/>
    <w:rsid w:val="00C76BE9"/>
    <w:rPr>
      <w:b/>
      <w:bCs/>
      <w:sz w:val="20"/>
      <w:szCs w:val="20"/>
    </w:rPr>
  </w:style>
  <w:style w:type="paragraph" w:styleId="BalloonText">
    <w:name w:val="Balloon Text"/>
    <w:basedOn w:val="Normal"/>
    <w:link w:val="BalloonTextChar"/>
    <w:uiPriority w:val="99"/>
    <w:semiHidden/>
    <w:unhideWhenUsed/>
    <w:rsid w:val="00C76BE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BE9"/>
    <w:rPr>
      <w:rFonts w:ascii="Segoe UI" w:hAnsi="Segoe UI" w:cs="Segoe UI"/>
      <w:sz w:val="18"/>
      <w:szCs w:val="18"/>
    </w:rPr>
  </w:style>
  <w:style w:type="paragraph" w:styleId="Header">
    <w:name w:val="header"/>
    <w:basedOn w:val="Normal"/>
    <w:link w:val="HeaderChar"/>
    <w:uiPriority w:val="99"/>
    <w:unhideWhenUsed/>
    <w:rsid w:val="00A74F72"/>
    <w:pPr>
      <w:tabs>
        <w:tab w:val="center" w:pos="4680"/>
        <w:tab w:val="right" w:pos="9360"/>
      </w:tabs>
      <w:spacing w:line="240" w:lineRule="auto"/>
    </w:pPr>
  </w:style>
  <w:style w:type="character" w:customStyle="1" w:styleId="HeaderChar">
    <w:name w:val="Header Char"/>
    <w:basedOn w:val="DefaultParagraphFont"/>
    <w:link w:val="Header"/>
    <w:uiPriority w:val="99"/>
    <w:rsid w:val="00A74F72"/>
  </w:style>
  <w:style w:type="paragraph" w:styleId="Footer">
    <w:name w:val="footer"/>
    <w:basedOn w:val="Normal"/>
    <w:link w:val="FooterChar"/>
    <w:uiPriority w:val="99"/>
    <w:unhideWhenUsed/>
    <w:rsid w:val="00A74F72"/>
    <w:pPr>
      <w:tabs>
        <w:tab w:val="center" w:pos="4680"/>
        <w:tab w:val="right" w:pos="9360"/>
      </w:tabs>
      <w:spacing w:line="240" w:lineRule="auto"/>
    </w:pPr>
  </w:style>
  <w:style w:type="character" w:customStyle="1" w:styleId="FooterChar">
    <w:name w:val="Footer Char"/>
    <w:basedOn w:val="DefaultParagraphFont"/>
    <w:link w:val="Footer"/>
    <w:uiPriority w:val="99"/>
    <w:rsid w:val="00A74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JournalArticle</b:SourceType>
    <b:JournalName>Journal of Hydrology: Regional Studies</b:JournalName>
    <b:Title>Linking stream-reach nitrogen loads and groundwater “reachsheds” to inform wastewater-nitrogen management actions, Cape Cod, Massachusetts</b:Title>
    <b:Volume>62</b:Volume>
    <b:Year>2025</b:Year>
    <b:Gdcea>{"AccessedType":"OnlineDatabase","Database":"Science Direct"}</b:Gdcea>
    <b:Author>
      <b:Author>
        <b:NameList>
          <b:Person>
            <b:First>Timothy</b:First>
            <b:Middle>D</b:Middle>
            <b:Last>McCobb</b:Last>
          </b:Person>
          <b:Person>
            <b:First>Denis</b:First>
            <b:Middle>R</b:Middle>
            <b:Last>LeBlanc</b:Last>
          </b:Person>
          <b:Person>
            <b:First>Jeffrey</b:First>
            <b:Middle>R</b:Middle>
            <b:Last>Barbaro</b:Last>
          </b:Person>
          <b:Person>
            <b:First>Marcel</b:First>
            <b:Last>Belaval</b:Last>
          </b:Person>
        </b:NameList>
      </b:Author>
    </b:Author>
  </b:Source>
  <b:Source>
    <b:Tag>source2</b:Tag>
    <b:SourceType>JournalArticle</b:SourceType>
    <b:JournalName>Journal of Environmental Management</b:JournalName>
    <b:Title>Reducing wastewater nitrogen loading by &gt;90% with carbon-amended septic systems: A field demonstration in Barnstable (Cape Cod), Massachusetts</b:Title>
    <b:Volume>370</b:Volume>
    <b:Year>2024</b:Year>
    <b:Gdcea>{"AccessedType":"OnlineDatabase","Database":"Science Direct"}</b:Gdcea>
    <b:Author>
      <b:Author>
        <b:NameList>
          <b:Person>
            <b:First>Laura</b:First>
            <b:Middle>E</b:Middle>
            <b:Last>Erban</b:Last>
          </b:Person>
          <b:Person>
            <b:First>Sara</b:First>
            <b:Middle>K</b:Middle>
            <b:Last>Wigginton</b:Last>
          </b:Person>
          <b:Person>
            <b:First>Brian</b:First>
            <b:Last>Baumgaertel</b:Last>
          </b:Person>
          <b:Person>
            <b:First>Bryan</b:First>
            <b:Last>Horsley</b:Last>
          </b:Person>
          <b:Person>
            <b:First>Timothy</b:First>
            <b:Middle>D</b:Middle>
            <b:Last>McCobb</b:Last>
          </b:Person>
          <b:Person>
            <b:First>Zenas</b:First>
            <b:Last>Crocker</b:Last>
          </b:Person>
          <b:Person>
            <b:First>Scott</b:First>
            <b:Last>Horsley</b:Last>
          </b:Person>
          <b:Person>
            <b:First>Timothy</b:First>
            <b:Middle>R</b:Middle>
            <b:Last>Gleason</b:Last>
          </b:Person>
        </b:NameList>
      </b:Author>
    </b:Author>
  </b:Source>
  <b:Source>
    <b:Tag>source3</b:Tag>
    <b:SourceType>JournalArticle</b:SourceType>
    <b:JournalName>Science of the Total Environment</b:JournalName>
    <b:Pages>470-481</b:Pages>
    <b:Title>Septic systems as sources of organic wastewater compounds in domestic drinking water wells in a shallow sand and gravel aquifer</b:Title>
    <b:Volume>547</b:Volume>
    <b:Year>2016</b:Year>
    <b:Gdcea>{"AccessedType":"OnlineDatabase","Database":"Science Direct"}</b:Gdcea>
    <b:Author>
      <b:Author>
        <b:NameList>
          <b:Person>
            <b:First>Laurel</b:First>
            <b:Middle>A</b:Middle>
            <b:Last>Schaider</b:Last>
          </b:Person>
          <b:Person>
            <b:First>Janet</b:First>
            <b:Middle>M</b:Middle>
            <b:Last>Ackerman</b:Last>
          </b:Person>
          <b:Person>
            <b:First>Ruthann</b:First>
            <b:Middle>A</b:Middle>
            <b:Last>Rudel</b:Last>
          </b:Person>
        </b:NameList>
      </b:Author>
    </b:Author>
  </b:Source>
  <b:Source>
    <b:Tag>source4</b:Tag>
    <b:SourceType>DocumentFromInternetSite</b:SourceType>
    <b:Day>11</b:Day>
    <b:DayAccessed>10</b:DayAccessed>
    <b:Month>March</b:Month>
    <b:MonthAccessed>April</b:MonthAccessed>
    <b:Title>Why Maintain Your Septic System | US EPA</b:Title>
    <b:URL>https://www.epa.gov/septic/why-maintain-your-septic-system</b:URL>
    <b:InternetSiteTitle>EPA</b:InternetSiteTitle>
    <b:Year>2026</b:Year>
    <b:YearAccessed>2026</b:YearAccessed>
    <b:Gdcea>{"AccessedType":"Website"}</b:Gdcea>
  </b:Source>
  <b:Source>
    <b:Tag>source5</b:Tag>
    <b:SourceType>DocumentFromInternetSite</b:SourceType>
    <b:DayAccessed>12</b:DayAccessed>
    <b:MonthAccessed>April</b:MonthAccessed>
    <b:Publisher>Massachusetts Department of Environmental Protection</b:Publisher>
    <b:Title>310 CMR 15.000: Title 5 - The State Environmental Code, Title 5: Standard Requirements for the Siting, Construction, Inspection, Upgrade and Expansion of On-Site Sewage Treatment and Disposal Systems and for the Transport and Disposal of Septage</b:Title>
    <b:URL>https://www.mass.gov/doc/310-cmr-15000-title-5-of-the-state-environmental-code/download</b:URL>
    <b:Year>2023</b:Year>
    <b:YearAccessed>2026</b:YearAccessed>
    <b:Gdcea>{"AccessedType":"Website"}</b:Gdcea>
  </b:Source>
  <b:Source>
    <b:Tag>source6</b:Tag>
    <b:SourceType>DocumentFromInternetSite</b:SourceType>
    <b:Day>22</b:Day>
    <b:DayAccessed>12</b:DayAccessed>
    <b:Month>December</b:Month>
    <b:MonthAccessed>April</b:MonthAccessed>
    <b:Title>Understanding MassDEP’s proposed nitrogen reduction regulatory changes</b:Title>
    <b:URL>https://www.capecodcommission.org/about-us/newsroom/understanding-massdeps-proposed-nitrogen-reduction-regulatory-changes/</b:URL>
    <b:InternetSiteTitle>Cape Cod Commission</b:InternetSiteTitle>
    <b:Year>2022</b:Year>
    <b:YearAccessed>2026</b:YearAccessed>
    <b:Gdcea>{"AccessedType":"Website"}</b:Gdcea>
  </b:Source>
  <b:Source>
    <b:Tag>source7</b:Tag>
    <b:SourceType>JournalArticle</b:SourceType>
    <b:Issue>1</b:Issue>
    <b:JournalName>Ophelia</b:JournalName>
    <b:Pages>199-219</b:Pages>
    <b:Title>Coastal marine eutrophication: A definition, social causes, and future concerns</b:Title>
    <b:Volume>41</b:Volume>
    <b:Year>1995</b:Year>
    <b:Gdcea>{"AccessedType":"OnlineDatabase","Database":"Google Scholar"}</b:Gdcea>
    <b:Author>
      <b:Author>
        <b:NameList>
          <b:Person>
            <b:First>Scott</b:First>
            <b:Middle>W</b:Middle>
            <b:Last>Nixon</b:Last>
          </b:Person>
        </b:NameList>
      </b:Author>
    </b:Author>
  </b:Source>
  <b:Source>
    <b:Tag>source8</b:Tag>
    <b:SourceType>JournalArticle</b:SourceType>
    <b:Issue>6</b:Issue>
    <b:JournalName>Groundwater</b:JournalName>
    <b:Pages>886-897</b:Pages>
    <b:StandardNumber>https://doi.org/10.1111/gwat.12121</b:StandardNumber>
    <b:Title>Contributing Factors to Disease Outbreaks Associated with Untreated Groundwater</b:Title>
    <b:Volume>52</b:Volume>
    <b:Year>2013</b:Year>
    <b:Gdcea>{"AccessedType":"OnlineDatabase","Database":"Wiley"}</b:Gdcea>
    <b:Author>
      <b:Author>
        <b:NameList>
          <b:Person>
            <b:First>Erika</b:First>
            <b:Middle>K</b:Middle>
            <b:Last>Wallender</b:Last>
          </b:Person>
          <b:Person>
            <b:First>Elizabeth</b:First>
            <b:Middle>C</b:Middle>
            <b:Last>Ailes</b:Last>
          </b:Person>
          <b:Person>
            <b:First>Jonathon</b:First>
            <b:Middle>S</b:Middle>
            <b:Last>Yoder</b:Last>
          </b:Person>
          <b:Person>
            <b:First>Virginia</b:First>
            <b:Middle>A</b:Middle>
            <b:Last>Roberts</b:Last>
          </b:Person>
          <b:Person>
            <b:First>Joan</b:First>
            <b:Middle>M</b:Middle>
            <b:Last>Brunkard</b:Last>
          </b:Person>
        </b:NameList>
      </b:Author>
    </b:Author>
  </b:Source>
  <b:Source>
    <b:Tag>source9</b:Tag>
    <b:SourceType>JournalArticle</b:SourceType>
    <b:Issue>8</b:Issue>
    <b:JournalName>CANADIAN JOURNAL OF FISHERIES AND AQUATIC SCIENCES</b:JournalName>
    <b:Pages>1489-1500</b:Pages>
    <b:StandardNumber>10.1139/cjfas-58-8-1489</b:StandardNumber>
    <b:Title>The ecological effects of urbanization of coastal watersheds: historical increases in nitrogen loads and eutrophication of Waquoit Bay estuaries</b:Title>
    <b:Volume>58</b:Volume>
    <b:Year>2001</b:Year>
    <b:Gdcea>{"AccessedType":"OnlineDatabase","Database":"Web of Science"}</b:Gdcea>
    <b:Author>
      <b:Author>
        <b:NameList>
          <b:Person>
            <b:First>J</b:First>
            <b:Middle>L</b:Middle>
            <b:Last>Bowen</b:Last>
          </b:Person>
          <b:Person>
            <b:First>I</b:First>
            <b:Last>Valiela</b:Last>
          </b:Person>
        </b:NameList>
      </b:Author>
    </b:Author>
  </b:Source>
  <b:Source>
    <b:Tag>source10</b:Tag>
    <b:SourceType>DocumentFromInternetSite</b:SourceType>
    <b:DayAccessed>15</b:DayAccessed>
    <b:Month>January</b:Month>
    <b:MonthAccessed>April</b:MonthAccessed>
    <b:Title>Innovative / Alternative (I/A) Septic System</b:Title>
    <b:URL>https://capecodcommission.org/resource-library/file?url=/dept/commission/team/Website_Resources/freshwater/strategies/Freshwater%20Strategy%20Fact%20Sheet%20-%20IA%20Septic%20System.pdf</b:URL>
    <b:InternetSiteTitle>Cape Cod Commission</b:InternetSiteTitle>
    <b:Year>2025</b:Year>
    <b:YearAccessed>2026</b:YearAccessed>
    <b:Gdcea>{"AccessedType":"Website"}</b:Gdcea>
  </b:Source>
  <b:Source>
    <b:Tag>source11</b:Tag>
    <b:SourceType>DocumentFromInternetSite</b:SourceType>
    <b:Title>Updated Understanding Cesspools, Title 5, and Innovative/Alternative (I/A) Septic Systems</b:Title>
    <b:URL>Updated Understanding Cesspools, Title 5, and Innovative/Alternative (I/A) Septic Systems</b:URL>
    <b:Year>2023</b:Year>
    <b:Gdcea>{"AccessedType":"Website"}</b:Gdcea>
  </b:Source>
  <b:Source>
    <b:Tag>source12</b:Tag>
    <b:SourceType>DocumentFromInternetSite</b:SourceType>
    <b:DayAccessed>14</b:DayAccessed>
    <b:MonthAccessed>April</b:MonthAccessed>
    <b:Title>Barnstable County, Massachusetts</b:Title>
    <b:URL>https://www.census.gov/quickfacts/fact/table/barnstablecountymassachusetts/PST045224</b:URL>
    <b:InternetSiteTitle>Census Bureau</b:InternetSiteTitle>
    <b:Year>2024</b:Year>
    <b:YearAccessed>2026</b:YearAccessed>
    <b:Gdcea>{"AccessedType":"Website"}</b:Gdcea>
  </b:Source>
  <b:Source>
    <b:Tag>source13</b:Tag>
    <b:SourceType>ArticleInAPeriodical</b:SourceType>
    <b:Day>21</b:Day>
    <b:Month>January</b:Month>
    <b:PeriodicalTitle>The Cape Cod Chronicle</b:PeriodicalTitle>
    <b:Title>Officials: Lack Of Progress In Sewer Connections Troubling</b:Title>
    <b:URL>https://www.capecodchronicle.com/articles/3977/view/officials-lack-of-progress-in-sewer-connections-troubling</b:URL>
    <b:Year>2026</b:Year>
    <b:Gdcea>{"AccessedType":"Website"}</b:Gdcea>
    <b:Author>
      <b:Author>
        <b:NameList>
          <b:Person>
            <b:First>Tim</b:First>
            <b:Last>Wood</b:Last>
          </b:Person>
        </b:NameList>
      </b:Author>
    </b:Author>
  </b:Source>
</b:Sources>
</file>

<file path=customXml/itemProps1.xml><?xml version="1.0" encoding="utf-8"?>
<ds:datastoreItem xmlns:ds="http://schemas.openxmlformats.org/officeDocument/2006/customXml" ds:itemID="{A722FDE1-73AE-407A-8FF9-2FF7D59AA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1749</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Reibstein, Richard</dc:creator>
  <cp:lastModifiedBy>Reibstein, Richard</cp:lastModifiedBy>
  <cp:revision>2</cp:revision>
  <dcterms:created xsi:type="dcterms:W3CDTF">2026-07-07T17:58:00Z</dcterms:created>
  <dcterms:modified xsi:type="dcterms:W3CDTF">2026-07-07T17:58:00Z</dcterms:modified>
</cp:coreProperties>
</file>