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4"/>
        <w:gridCol w:w="3654"/>
        <w:gridCol w:w="3690"/>
        <w:gridCol w:w="3420"/>
      </w:tblGrid>
      <w:tr w:rsidR="0054721E" w:rsidRPr="0056769B" w:rsidTr="00441BDD">
        <w:tc>
          <w:tcPr>
            <w:tcW w:w="2394" w:type="dxa"/>
            <w:shd w:val="clear" w:color="auto" w:fill="B8CCE4" w:themeFill="accent1" w:themeFillTint="66"/>
          </w:tcPr>
          <w:p w:rsidR="0054721E" w:rsidRPr="00441BDD" w:rsidRDefault="0054721E" w:rsidP="0056769B">
            <w:pPr>
              <w:spacing w:after="0" w:line="240" w:lineRule="auto"/>
              <w:rPr>
                <w:b/>
                <w:sz w:val="24"/>
              </w:rPr>
            </w:pPr>
            <w:r w:rsidRPr="00441BDD">
              <w:rPr>
                <w:b/>
                <w:sz w:val="24"/>
              </w:rPr>
              <w:t>Delivery</w:t>
            </w:r>
          </w:p>
          <w:p w:rsidR="0054721E" w:rsidRPr="0056769B" w:rsidRDefault="0054721E" w:rsidP="0056769B">
            <w:pPr>
              <w:spacing w:after="0" w:line="240" w:lineRule="auto"/>
              <w:rPr>
                <w:b/>
              </w:rPr>
            </w:pPr>
          </w:p>
        </w:tc>
        <w:tc>
          <w:tcPr>
            <w:tcW w:w="3654" w:type="dxa"/>
            <w:shd w:val="clear" w:color="auto" w:fill="B8CCE4" w:themeFill="accent1" w:themeFillTint="66"/>
          </w:tcPr>
          <w:p w:rsidR="0054721E" w:rsidRPr="003F2845" w:rsidRDefault="0054721E" w:rsidP="003F2845">
            <w:pPr>
              <w:spacing w:after="0" w:line="240" w:lineRule="auto"/>
              <w:jc w:val="center"/>
              <w:rPr>
                <w:b/>
              </w:rPr>
            </w:pPr>
            <w:r w:rsidRPr="003F2845">
              <w:rPr>
                <w:b/>
              </w:rPr>
              <w:t>Exceeds Standards</w:t>
            </w:r>
          </w:p>
        </w:tc>
        <w:tc>
          <w:tcPr>
            <w:tcW w:w="3690" w:type="dxa"/>
            <w:shd w:val="clear" w:color="auto" w:fill="B8CCE4" w:themeFill="accent1" w:themeFillTint="66"/>
          </w:tcPr>
          <w:p w:rsidR="0054721E" w:rsidRPr="003F2845" w:rsidRDefault="0054721E" w:rsidP="003F2845">
            <w:pPr>
              <w:spacing w:after="0" w:line="240" w:lineRule="auto"/>
              <w:jc w:val="center"/>
              <w:rPr>
                <w:b/>
              </w:rPr>
            </w:pPr>
            <w:r w:rsidRPr="003F2845">
              <w:rPr>
                <w:b/>
              </w:rPr>
              <w:t>Meets Standards</w:t>
            </w:r>
          </w:p>
        </w:tc>
        <w:tc>
          <w:tcPr>
            <w:tcW w:w="3420" w:type="dxa"/>
            <w:shd w:val="clear" w:color="auto" w:fill="B8CCE4" w:themeFill="accent1" w:themeFillTint="66"/>
          </w:tcPr>
          <w:p w:rsidR="0054721E" w:rsidRPr="003F2845" w:rsidRDefault="0054721E" w:rsidP="003F2845">
            <w:pPr>
              <w:spacing w:after="0" w:line="240" w:lineRule="auto"/>
              <w:jc w:val="center"/>
              <w:rPr>
                <w:b/>
              </w:rPr>
            </w:pPr>
            <w:r w:rsidRPr="003F2845">
              <w:rPr>
                <w:b/>
              </w:rPr>
              <w:t>Fails to Meet Standards</w:t>
            </w:r>
          </w:p>
        </w:tc>
      </w:tr>
      <w:tr w:rsidR="00096144" w:rsidRPr="0056769B" w:rsidTr="0056769B">
        <w:tc>
          <w:tcPr>
            <w:tcW w:w="2394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 xml:space="preserve">     Attire</w:t>
            </w:r>
          </w:p>
        </w:tc>
        <w:tc>
          <w:tcPr>
            <w:tcW w:w="3654" w:type="dxa"/>
          </w:tcPr>
          <w:p w:rsidR="00096144" w:rsidRPr="0056769B" w:rsidRDefault="00096144" w:rsidP="00CD5A3B">
            <w:pPr>
              <w:spacing w:after="0" w:line="240" w:lineRule="auto"/>
            </w:pPr>
          </w:p>
        </w:tc>
        <w:tc>
          <w:tcPr>
            <w:tcW w:w="3690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Professional – business casual or formal, as appropriate.</w:t>
            </w:r>
          </w:p>
        </w:tc>
        <w:tc>
          <w:tcPr>
            <w:tcW w:w="3420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Inappropriate or distracting.</w:t>
            </w:r>
          </w:p>
        </w:tc>
      </w:tr>
      <w:tr w:rsidR="0054721E" w:rsidRPr="0056769B" w:rsidTr="0056769B">
        <w:tc>
          <w:tcPr>
            <w:tcW w:w="2394" w:type="dxa"/>
          </w:tcPr>
          <w:p w:rsidR="0054721E" w:rsidRPr="0056769B" w:rsidRDefault="0054721E" w:rsidP="00D4621A">
            <w:pPr>
              <w:tabs>
                <w:tab w:val="left" w:pos="254"/>
                <w:tab w:val="left" w:pos="356"/>
              </w:tabs>
              <w:spacing w:after="0" w:line="240" w:lineRule="auto"/>
            </w:pPr>
            <w:r w:rsidRPr="0056769B">
              <w:t xml:space="preserve">     Eye Contact</w:t>
            </w:r>
          </w:p>
        </w:tc>
        <w:tc>
          <w:tcPr>
            <w:tcW w:w="3654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Maintains eye contact continuously – scans entire audience.  Has no need to look at slides except to confirm alignment or synchronization.</w:t>
            </w:r>
          </w:p>
        </w:tc>
        <w:tc>
          <w:tcPr>
            <w:tcW w:w="3690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Maintains eye contact with audience most of the time.  Checks slides or notes occasionally.</w:t>
            </w:r>
          </w:p>
        </w:tc>
        <w:tc>
          <w:tcPr>
            <w:tcW w:w="3420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Reads most or all of report, making little or no eye contact with audience.  Relies heavily on note</w:t>
            </w:r>
            <w:r w:rsidR="007B35DA">
              <w:t xml:space="preserve"> </w:t>
            </w:r>
            <w:r w:rsidRPr="0056769B">
              <w:t>cards or slides.</w:t>
            </w:r>
          </w:p>
        </w:tc>
      </w:tr>
      <w:tr w:rsidR="00096144" w:rsidRPr="0056769B" w:rsidTr="00441BDD">
        <w:tc>
          <w:tcPr>
            <w:tcW w:w="2394" w:type="dxa"/>
            <w:tcBorders>
              <w:bottom w:val="single" w:sz="4" w:space="0" w:color="000000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 xml:space="preserve">     Body language (also </w:t>
            </w:r>
            <w:r>
              <w:t xml:space="preserve">use of hands, </w:t>
            </w:r>
            <w:r w:rsidRPr="0056769B">
              <w:t xml:space="preserve">gestures, animation) </w:t>
            </w:r>
          </w:p>
        </w:tc>
        <w:tc>
          <w:tcPr>
            <w:tcW w:w="3654" w:type="dxa"/>
            <w:tcBorders>
              <w:bottom w:val="single" w:sz="4" w:space="0" w:color="000000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Conveys confidence and enthusiasm. Gestures are appropriate and add value/emphasis to message.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Body language is appropriate. Gestures do not detract from message</w:t>
            </w:r>
            <w:r>
              <w:t>, offer some support</w:t>
            </w:r>
            <w:r w:rsidRPr="0056769B">
              <w:t>.</w:t>
            </w:r>
          </w:p>
        </w:tc>
        <w:tc>
          <w:tcPr>
            <w:tcW w:w="3420" w:type="dxa"/>
            <w:tcBorders>
              <w:bottom w:val="single" w:sz="4" w:space="0" w:color="000000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Conveys nervousness/lack of confidence, fidgeting</w:t>
            </w:r>
            <w:r>
              <w:t>, rigidity</w:t>
            </w:r>
            <w:r w:rsidRPr="0056769B">
              <w:t>. Gestures detract from message.</w:t>
            </w:r>
          </w:p>
        </w:tc>
      </w:tr>
      <w:tr w:rsidR="00096144" w:rsidRPr="0056769B" w:rsidTr="007579FF">
        <w:tc>
          <w:tcPr>
            <w:tcW w:w="2394" w:type="dxa"/>
            <w:tcBorders>
              <w:left w:val="single" w:sz="12" w:space="0" w:color="auto"/>
              <w:bottom w:val="single" w:sz="18" w:space="0" w:color="auto"/>
            </w:tcBorders>
          </w:tcPr>
          <w:p w:rsidR="00096144" w:rsidRPr="0056769B" w:rsidRDefault="00096144" w:rsidP="00096144">
            <w:pPr>
              <w:spacing w:after="0" w:line="240" w:lineRule="auto"/>
            </w:pPr>
            <w:r w:rsidRPr="0056769B">
              <w:t>Positioning</w:t>
            </w:r>
            <w:r>
              <w:t>/movement</w:t>
            </w:r>
          </w:p>
        </w:tc>
        <w:tc>
          <w:tcPr>
            <w:tcW w:w="3654" w:type="dxa"/>
            <w:tcBorders>
              <w:bottom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Effortlessly uses positioning and changes it to engage audience and direct attention.</w:t>
            </w:r>
          </w:p>
        </w:tc>
        <w:tc>
          <w:tcPr>
            <w:tcW w:w="3690" w:type="dxa"/>
            <w:tcBorders>
              <w:bottom w:val="single" w:sz="18" w:space="0" w:color="auto"/>
            </w:tcBorders>
          </w:tcPr>
          <w:p w:rsidR="00096144" w:rsidRPr="0056769B" w:rsidRDefault="00096144" w:rsidP="00096144">
            <w:pPr>
              <w:spacing w:after="0" w:line="240" w:lineRule="auto"/>
            </w:pPr>
            <w:r w:rsidRPr="0056769B">
              <w:t>Appear</w:t>
            </w:r>
            <w:r>
              <w:t>s</w:t>
            </w:r>
            <w:r w:rsidRPr="0056769B">
              <w:t xml:space="preserve"> comfortable, relaxed, and confident.</w:t>
            </w:r>
            <w:r>
              <w:t xml:space="preserve">  Movement engages</w:t>
            </w:r>
            <w:r w:rsidRPr="0056769B">
              <w:t xml:space="preserve"> audience or direct</w:t>
            </w:r>
            <w:r>
              <w:t>s</w:t>
            </w:r>
            <w:r w:rsidRPr="0056769B">
              <w:t xml:space="preserve"> attention to data.</w:t>
            </w:r>
          </w:p>
        </w:tc>
        <w:tc>
          <w:tcPr>
            <w:tcW w:w="3420" w:type="dxa"/>
            <w:tcBorders>
              <w:bottom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Disconnected from audience and material.  Rigidly planted; crossed ankles; rocking; rapid pacing.</w:t>
            </w:r>
          </w:p>
        </w:tc>
      </w:tr>
      <w:tr w:rsidR="00096144" w:rsidRPr="0056769B" w:rsidTr="007579FF">
        <w:tc>
          <w:tcPr>
            <w:tcW w:w="2394" w:type="dxa"/>
            <w:tcBorders>
              <w:top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 xml:space="preserve">     </w:t>
            </w:r>
            <w:r>
              <w:t xml:space="preserve">   </w:t>
            </w:r>
            <w:r w:rsidRPr="0056769B">
              <w:t>Projection/modulation</w:t>
            </w:r>
          </w:p>
        </w:tc>
        <w:tc>
          <w:tcPr>
            <w:tcW w:w="3654" w:type="dxa"/>
            <w:tcBorders>
              <w:top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Uses variation in pitch and volume to maintain audience attention and to emphasize points.</w:t>
            </w:r>
          </w:p>
        </w:tc>
        <w:tc>
          <w:tcPr>
            <w:tcW w:w="3690" w:type="dxa"/>
            <w:tcBorders>
              <w:top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Is loud enough for all in audience to hear.  Some variation in pitch and volume.</w:t>
            </w:r>
          </w:p>
        </w:tc>
        <w:tc>
          <w:tcPr>
            <w:tcW w:w="3420" w:type="dxa"/>
            <w:tcBorders>
              <w:top w:val="single" w:sz="18" w:space="0" w:color="auto"/>
            </w:tcBorders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Too quiet to be heard by many in audience or excessively loud.  Monotonic, no variation in pitch or volume.</w:t>
            </w:r>
          </w:p>
        </w:tc>
      </w:tr>
      <w:tr w:rsidR="00096144" w:rsidRPr="0056769B" w:rsidTr="0056769B">
        <w:tc>
          <w:tcPr>
            <w:tcW w:w="2394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 xml:space="preserve">     Pace </w:t>
            </w:r>
          </w:p>
        </w:tc>
        <w:tc>
          <w:tcPr>
            <w:tcW w:w="3654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Clear and engaging, neither too fast nor too slow, easy to understand, and maintains interest.</w:t>
            </w:r>
          </w:p>
        </w:tc>
        <w:tc>
          <w:tcPr>
            <w:tcW w:w="3690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Neither too fast nor too slow; easy to understand.</w:t>
            </w:r>
          </w:p>
        </w:tc>
        <w:tc>
          <w:tcPr>
            <w:tcW w:w="3420" w:type="dxa"/>
          </w:tcPr>
          <w:p w:rsidR="00096144" w:rsidRPr="0056769B" w:rsidRDefault="00096144" w:rsidP="00CD5A3B">
            <w:pPr>
              <w:spacing w:after="0" w:line="240" w:lineRule="auto"/>
            </w:pPr>
            <w:r w:rsidRPr="0056769B">
              <w:t>Too fast or too slow or with long pauses to collect thoughts. Difficult to understand words.</w:t>
            </w:r>
          </w:p>
        </w:tc>
      </w:tr>
      <w:tr w:rsidR="00205DE3" w:rsidRPr="0056769B" w:rsidTr="007579FF">
        <w:tc>
          <w:tcPr>
            <w:tcW w:w="2394" w:type="dxa"/>
            <w:tcBorders>
              <w:bottom w:val="single" w:sz="18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 xml:space="preserve">     Pronunciation</w:t>
            </w:r>
          </w:p>
        </w:tc>
        <w:tc>
          <w:tcPr>
            <w:tcW w:w="3654" w:type="dxa"/>
            <w:tcBorders>
              <w:bottom w:val="single" w:sz="18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>Clear, precise, and correct.</w:t>
            </w:r>
          </w:p>
        </w:tc>
        <w:tc>
          <w:tcPr>
            <w:tcW w:w="3690" w:type="dxa"/>
            <w:tcBorders>
              <w:bottom w:val="single" w:sz="18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>Articulates clearly.  Audience can understand without effort.</w:t>
            </w:r>
          </w:p>
        </w:tc>
        <w:tc>
          <w:tcPr>
            <w:tcW w:w="3420" w:type="dxa"/>
            <w:tcBorders>
              <w:bottom w:val="single" w:sz="18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>Mumbles and mispronounces terms.</w:t>
            </w:r>
          </w:p>
        </w:tc>
      </w:tr>
      <w:tr w:rsidR="00205DE3" w:rsidRPr="0056769B" w:rsidTr="007579FF">
        <w:tc>
          <w:tcPr>
            <w:tcW w:w="2394" w:type="dxa"/>
            <w:tcBorders>
              <w:top w:val="single" w:sz="18" w:space="0" w:color="auto"/>
              <w:bottom w:val="single" w:sz="12" w:space="0" w:color="auto"/>
            </w:tcBorders>
          </w:tcPr>
          <w:p w:rsidR="00205DE3" w:rsidRPr="0056769B" w:rsidRDefault="00205DE3" w:rsidP="00CD5A3B">
            <w:pPr>
              <w:tabs>
                <w:tab w:val="left" w:pos="288"/>
              </w:tabs>
              <w:spacing w:after="0" w:line="240" w:lineRule="auto"/>
              <w:ind w:left="330" w:hanging="330"/>
            </w:pPr>
            <w:r>
              <w:t xml:space="preserve">   </w:t>
            </w:r>
            <w:r w:rsidRPr="0056769B">
              <w:t>Use of “fillers”</w:t>
            </w:r>
          </w:p>
        </w:tc>
        <w:tc>
          <w:tcPr>
            <w:tcW w:w="3654" w:type="dxa"/>
            <w:tcBorders>
              <w:top w:val="single" w:sz="18" w:space="0" w:color="auto"/>
              <w:bottom w:val="single" w:sz="12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</w:p>
        </w:tc>
        <w:tc>
          <w:tcPr>
            <w:tcW w:w="3690" w:type="dxa"/>
            <w:tcBorders>
              <w:top w:val="single" w:sz="18" w:space="0" w:color="auto"/>
              <w:bottom w:val="single" w:sz="12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>No use of space fillers – um, like, etc.</w:t>
            </w:r>
          </w:p>
        </w:tc>
        <w:tc>
          <w:tcPr>
            <w:tcW w:w="3420" w:type="dxa"/>
            <w:tcBorders>
              <w:top w:val="single" w:sz="18" w:space="0" w:color="auto"/>
              <w:bottom w:val="single" w:sz="12" w:space="0" w:color="auto"/>
            </w:tcBorders>
          </w:tcPr>
          <w:p w:rsidR="00205DE3" w:rsidRPr="0056769B" w:rsidRDefault="00205DE3" w:rsidP="00CD5A3B">
            <w:pPr>
              <w:spacing w:after="0" w:line="240" w:lineRule="auto"/>
            </w:pPr>
            <w:r w:rsidRPr="0056769B">
              <w:t>Uses space fillers – um, like, etc.</w:t>
            </w:r>
          </w:p>
        </w:tc>
      </w:tr>
      <w:tr w:rsidR="0054721E" w:rsidRPr="0056769B" w:rsidTr="007579FF">
        <w:tc>
          <w:tcPr>
            <w:tcW w:w="2394" w:type="dxa"/>
            <w:tcBorders>
              <w:top w:val="single" w:sz="12" w:space="0" w:color="auto"/>
            </w:tcBorders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Use of props/visual aids</w:t>
            </w:r>
          </w:p>
        </w:tc>
        <w:tc>
          <w:tcPr>
            <w:tcW w:w="3654" w:type="dxa"/>
            <w:tcBorders>
              <w:top w:val="single" w:sz="12" w:space="0" w:color="auto"/>
            </w:tcBorders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Adds significant value and is used seamlessly.</w:t>
            </w:r>
          </w:p>
        </w:tc>
        <w:tc>
          <w:tcPr>
            <w:tcW w:w="3690" w:type="dxa"/>
            <w:tcBorders>
              <w:top w:val="single" w:sz="12" w:space="0" w:color="auto"/>
            </w:tcBorders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 xml:space="preserve">Reason for use is clear and its contribution is worth time to introduce it. </w:t>
            </w:r>
          </w:p>
        </w:tc>
        <w:tc>
          <w:tcPr>
            <w:tcW w:w="3420" w:type="dxa"/>
            <w:tcBorders>
              <w:top w:val="single" w:sz="12" w:space="0" w:color="auto"/>
            </w:tcBorders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Not present / does not add value / is not integrated well</w:t>
            </w:r>
          </w:p>
        </w:tc>
      </w:tr>
      <w:tr w:rsidR="0054721E" w:rsidRPr="0056769B" w:rsidTr="0056769B">
        <w:tc>
          <w:tcPr>
            <w:tcW w:w="2394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 xml:space="preserve">     Effective use of time</w:t>
            </w:r>
          </w:p>
        </w:tc>
        <w:tc>
          <w:tcPr>
            <w:tcW w:w="3654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Time allocated effectively.  Finishes on time.</w:t>
            </w:r>
          </w:p>
        </w:tc>
        <w:tc>
          <w:tcPr>
            <w:tcW w:w="3690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 xml:space="preserve">Finishes on time without rushing or cutting information. </w:t>
            </w:r>
          </w:p>
        </w:tc>
        <w:tc>
          <w:tcPr>
            <w:tcW w:w="3420" w:type="dxa"/>
          </w:tcPr>
          <w:p w:rsidR="0054721E" w:rsidRPr="0056769B" w:rsidRDefault="0054721E" w:rsidP="0056769B">
            <w:pPr>
              <w:spacing w:after="0" w:line="240" w:lineRule="auto"/>
            </w:pPr>
            <w:r w:rsidRPr="0056769B">
              <w:t>Does not finish on time or finishes well before allotted time.  Important information left out.</w:t>
            </w:r>
          </w:p>
        </w:tc>
      </w:tr>
    </w:tbl>
    <w:p w:rsidR="0054721E" w:rsidRPr="00D27959" w:rsidRDefault="003F2845" w:rsidP="002B6DCF">
      <w:bookmarkStart w:id="0" w:name="_GoBack"/>
      <w:bookmarkEnd w:id="0"/>
      <w:r w:rsidRPr="00D27959">
        <w:t xml:space="preserve"> </w:t>
      </w:r>
    </w:p>
    <w:sectPr w:rsidR="0054721E" w:rsidRPr="00D27959" w:rsidSect="009B608C">
      <w:headerReference w:type="default" r:id="rId6"/>
      <w:footerReference w:type="default" r:id="rId7"/>
      <w:pgSz w:w="15840" w:h="12240" w:orient="landscape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23A" w:rsidRDefault="0029723A" w:rsidP="009B608C">
      <w:pPr>
        <w:spacing w:after="0" w:line="240" w:lineRule="auto"/>
      </w:pPr>
      <w:r>
        <w:separator/>
      </w:r>
    </w:p>
  </w:endnote>
  <w:endnote w:type="continuationSeparator" w:id="0">
    <w:p w:rsidR="0029723A" w:rsidRDefault="0029723A" w:rsidP="009B6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2845" w:rsidRDefault="002B6DC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3F2845" w:rsidRDefault="002B6DCF">
    <w:pPr>
      <w:pStyle w:val="Foo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2pt;height:32.25pt">
          <v:imagedata r:id="rId1" o:title="Questrom_red-master-horizontal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23A" w:rsidRDefault="0029723A" w:rsidP="009B608C">
      <w:pPr>
        <w:spacing w:after="0" w:line="240" w:lineRule="auto"/>
      </w:pPr>
      <w:r>
        <w:separator/>
      </w:r>
    </w:p>
  </w:footnote>
  <w:footnote w:type="continuationSeparator" w:id="0">
    <w:p w:rsidR="0029723A" w:rsidRDefault="0029723A" w:rsidP="009B6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08C" w:rsidRPr="009B608C" w:rsidRDefault="008A2B2A" w:rsidP="004E6969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Presentation </w:t>
    </w:r>
    <w:r w:rsidR="0019756B">
      <w:rPr>
        <w:sz w:val="28"/>
        <w:szCs w:val="28"/>
      </w:rPr>
      <w:t xml:space="preserve">Skills </w:t>
    </w:r>
    <w:r>
      <w:rPr>
        <w:sz w:val="28"/>
        <w:szCs w:val="28"/>
      </w:rPr>
      <w:t>Rubric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52"/>
    <w:rsid w:val="0005033A"/>
    <w:rsid w:val="00070E10"/>
    <w:rsid w:val="00096144"/>
    <w:rsid w:val="000E42F8"/>
    <w:rsid w:val="0012446B"/>
    <w:rsid w:val="00162488"/>
    <w:rsid w:val="0016286E"/>
    <w:rsid w:val="0019756B"/>
    <w:rsid w:val="001A49ED"/>
    <w:rsid w:val="001D2722"/>
    <w:rsid w:val="001F6211"/>
    <w:rsid w:val="00205DE3"/>
    <w:rsid w:val="00254FD0"/>
    <w:rsid w:val="00255322"/>
    <w:rsid w:val="00267F44"/>
    <w:rsid w:val="00277C7E"/>
    <w:rsid w:val="00290E74"/>
    <w:rsid w:val="0029723A"/>
    <w:rsid w:val="002B6DCF"/>
    <w:rsid w:val="002C6826"/>
    <w:rsid w:val="002D6DC4"/>
    <w:rsid w:val="002D7BC6"/>
    <w:rsid w:val="003401A4"/>
    <w:rsid w:val="003761F1"/>
    <w:rsid w:val="00396E5B"/>
    <w:rsid w:val="003B4C10"/>
    <w:rsid w:val="003B5473"/>
    <w:rsid w:val="003C1226"/>
    <w:rsid w:val="003F2845"/>
    <w:rsid w:val="00441BDD"/>
    <w:rsid w:val="004508B5"/>
    <w:rsid w:val="00452FDC"/>
    <w:rsid w:val="00470CBA"/>
    <w:rsid w:val="004B3405"/>
    <w:rsid w:val="004C3C8F"/>
    <w:rsid w:val="004E6969"/>
    <w:rsid w:val="00514713"/>
    <w:rsid w:val="00521E12"/>
    <w:rsid w:val="00543CFC"/>
    <w:rsid w:val="0054721E"/>
    <w:rsid w:val="0056769B"/>
    <w:rsid w:val="005C337D"/>
    <w:rsid w:val="005C4152"/>
    <w:rsid w:val="005D7D94"/>
    <w:rsid w:val="006267D5"/>
    <w:rsid w:val="00666533"/>
    <w:rsid w:val="00676173"/>
    <w:rsid w:val="006F096E"/>
    <w:rsid w:val="0072038C"/>
    <w:rsid w:val="00735A97"/>
    <w:rsid w:val="007416CB"/>
    <w:rsid w:val="00741F78"/>
    <w:rsid w:val="007579FF"/>
    <w:rsid w:val="00785649"/>
    <w:rsid w:val="00787160"/>
    <w:rsid w:val="007B35DA"/>
    <w:rsid w:val="008319FE"/>
    <w:rsid w:val="008A2B2A"/>
    <w:rsid w:val="008F4299"/>
    <w:rsid w:val="00923A23"/>
    <w:rsid w:val="009354F0"/>
    <w:rsid w:val="00986F45"/>
    <w:rsid w:val="009A4C2E"/>
    <w:rsid w:val="009B608C"/>
    <w:rsid w:val="009F1EB8"/>
    <w:rsid w:val="009F4D80"/>
    <w:rsid w:val="00AB1B2E"/>
    <w:rsid w:val="00AC152D"/>
    <w:rsid w:val="00AC410F"/>
    <w:rsid w:val="00AC6D05"/>
    <w:rsid w:val="00AD4F4F"/>
    <w:rsid w:val="00B00695"/>
    <w:rsid w:val="00B163D1"/>
    <w:rsid w:val="00B31E4C"/>
    <w:rsid w:val="00B51BE5"/>
    <w:rsid w:val="00B571FE"/>
    <w:rsid w:val="00B83C71"/>
    <w:rsid w:val="00BA15C3"/>
    <w:rsid w:val="00BA54B8"/>
    <w:rsid w:val="00BB0A0D"/>
    <w:rsid w:val="00BB2A49"/>
    <w:rsid w:val="00BF3575"/>
    <w:rsid w:val="00BF7077"/>
    <w:rsid w:val="00CA44C5"/>
    <w:rsid w:val="00D27959"/>
    <w:rsid w:val="00D4621A"/>
    <w:rsid w:val="00D566FC"/>
    <w:rsid w:val="00D7790D"/>
    <w:rsid w:val="00DC1CD3"/>
    <w:rsid w:val="00DD1779"/>
    <w:rsid w:val="00DD3F3B"/>
    <w:rsid w:val="00DF07C1"/>
    <w:rsid w:val="00E17EEA"/>
    <w:rsid w:val="00E53E21"/>
    <w:rsid w:val="00E739CC"/>
    <w:rsid w:val="00E94288"/>
    <w:rsid w:val="00EB6358"/>
    <w:rsid w:val="00EC45A2"/>
    <w:rsid w:val="00EF6EFB"/>
    <w:rsid w:val="00EF77B6"/>
    <w:rsid w:val="00F042E1"/>
    <w:rsid w:val="00F14AE7"/>
    <w:rsid w:val="00F85D02"/>
    <w:rsid w:val="00FA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5:docId w15:val="{3F3E125A-F8FB-483C-B3AA-0825CA776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60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415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C4152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4152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C4152"/>
    <w:rPr>
      <w:rFonts w:ascii="Cambria" w:hAnsi="Cambria" w:cs="Times New Roman"/>
      <w:b/>
      <w:bCs/>
      <w:color w:val="4F81BD"/>
      <w:sz w:val="26"/>
      <w:szCs w:val="26"/>
    </w:rPr>
  </w:style>
  <w:style w:type="paragraph" w:styleId="NoSpacing">
    <w:name w:val="No Spacing"/>
    <w:uiPriority w:val="99"/>
    <w:qFormat/>
    <w:rsid w:val="005C4152"/>
    <w:rPr>
      <w:sz w:val="22"/>
      <w:szCs w:val="22"/>
    </w:rPr>
  </w:style>
  <w:style w:type="table" w:styleId="TableGrid">
    <w:name w:val="Table Grid"/>
    <w:basedOn w:val="TableNormal"/>
    <w:uiPriority w:val="99"/>
    <w:rsid w:val="00D279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BF3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F35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60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08C"/>
  </w:style>
  <w:style w:type="paragraph" w:styleId="Footer">
    <w:name w:val="footer"/>
    <w:basedOn w:val="Normal"/>
    <w:link w:val="FooterChar"/>
    <w:uiPriority w:val="99"/>
    <w:unhideWhenUsed/>
    <w:rsid w:val="009B60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351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Presentation Skills Rubric</vt:lpstr>
    </vt:vector>
  </TitlesOfParts>
  <Company>School of Management</Company>
  <LinksUpToDate>false</LinksUpToDate>
  <CharactersWithSpaces>2422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Presentation Skills Rubric</dc:title>
  <dc:subject/>
  <dc:creator>Dixon, John Robb</dc:creator>
  <cp:keywords/>
  <dc:description/>
  <cp:lastModifiedBy>Office of the Dean, Questrom</cp:lastModifiedBy>
  <cp:revision>3</cp:revision>
  <cp:lastPrinted>2010-01-29T19:29:00Z</cp:lastPrinted>
  <dcterms:created xsi:type="dcterms:W3CDTF">2018-05-02T13:53:00Z</dcterms:created>
  <dcterms:modified xsi:type="dcterms:W3CDTF">2018-05-02T13:57:00Z</dcterms:modified>
</cp:coreProperties>
</file>