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NO. ALB-21-01</w:t>
      </w:r>
    </w:p>
    <w:p w14:paraId="00000002"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IN THE SUPREME COURT OF THE UNITED STATES</w:t>
      </w:r>
    </w:p>
    <w:p w14:paraId="00000003" w14:textId="77777777" w:rsidR="00F1592A" w:rsidRPr="00B22770" w:rsidRDefault="00F1592A">
      <w:pPr>
        <w:jc w:val="center"/>
        <w:rPr>
          <w:rFonts w:ascii="Times New Roman" w:eastAsia="Times New Roman" w:hAnsi="Times New Roman" w:cs="Times New Roman"/>
          <w:sz w:val="24"/>
          <w:szCs w:val="24"/>
        </w:rPr>
      </w:pPr>
    </w:p>
    <w:p w14:paraId="00000004" w14:textId="77777777" w:rsidR="00F1592A" w:rsidRPr="00B22770" w:rsidRDefault="003577B4">
      <w:pPr>
        <w:jc w:val="center"/>
        <w:rPr>
          <w:rFonts w:ascii="Times New Roman" w:eastAsia="Times New Roman" w:hAnsi="Times New Roman" w:cs="Times New Roman"/>
          <w:sz w:val="24"/>
          <w:szCs w:val="24"/>
        </w:rPr>
      </w:pPr>
      <w:r>
        <w:rPr>
          <w:rFonts w:ascii="Times New Roman" w:hAnsi="Times New Roman" w:cs="Times New Roman"/>
          <w:noProof/>
          <w:sz w:val="24"/>
          <w:szCs w:val="24"/>
        </w:rPr>
        <w:pict w14:anchorId="09C79814">
          <v:rect id="_x0000_i1025" alt="" style="width:468pt;height:.05pt;mso-width-percent:0;mso-height-percent:0;mso-width-percent:0;mso-height-percent:0" o:hralign="center" o:hrstd="t" o:hr="t" fillcolor="#a0a0a0" stroked="f"/>
        </w:pict>
      </w:r>
    </w:p>
    <w:p w14:paraId="00000005" w14:textId="77777777" w:rsidR="00F1592A" w:rsidRPr="00B22770" w:rsidRDefault="00711B04">
      <w:pPr>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p>
    <w:p w14:paraId="00000006" w14:textId="77777777" w:rsidR="00F1592A" w:rsidRPr="00B22770" w:rsidRDefault="003577B4">
      <w:pPr>
        <w:jc w:val="center"/>
        <w:rPr>
          <w:rFonts w:ascii="Times New Roman" w:eastAsia="Times New Roman" w:hAnsi="Times New Roman" w:cs="Times New Roman"/>
          <w:sz w:val="24"/>
          <w:szCs w:val="24"/>
        </w:rPr>
      </w:pPr>
      <w:r>
        <w:rPr>
          <w:rFonts w:ascii="Times New Roman" w:hAnsi="Times New Roman" w:cs="Times New Roman"/>
          <w:noProof/>
          <w:sz w:val="24"/>
          <w:szCs w:val="24"/>
        </w:rPr>
        <w:pict w14:anchorId="592ABAB2">
          <v:rect id="_x0000_i1026" alt="" style="width:468pt;height:.05pt;mso-width-percent:0;mso-height-percent:0;mso-width-percent:0;mso-height-percent:0" o:hralign="center" o:hrstd="t" o:hr="t" fillcolor="#a0a0a0" stroked="f"/>
        </w:pict>
      </w:r>
    </w:p>
    <w:p w14:paraId="00000007" w14:textId="77777777" w:rsidR="00F1592A" w:rsidRPr="00B22770" w:rsidRDefault="00711B04">
      <w:pPr>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p>
    <w:p w14:paraId="00000008" w14:textId="77777777" w:rsidR="00F1592A" w:rsidRPr="00B22770" w:rsidRDefault="00F1592A">
      <w:pPr>
        <w:spacing w:line="480" w:lineRule="auto"/>
        <w:jc w:val="center"/>
        <w:rPr>
          <w:rFonts w:ascii="Times New Roman" w:eastAsia="Times New Roman" w:hAnsi="Times New Roman" w:cs="Times New Roman"/>
          <w:sz w:val="24"/>
          <w:szCs w:val="24"/>
        </w:rPr>
      </w:pPr>
    </w:p>
    <w:p w14:paraId="00000009"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BLAIR ASTORIA,</w:t>
      </w:r>
    </w:p>
    <w:p w14:paraId="0000000A"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PETITIONER</w:t>
      </w:r>
      <w:bookmarkStart w:id="0" w:name="_GoBack"/>
      <w:bookmarkEnd w:id="0"/>
    </w:p>
    <w:p w14:paraId="0000000B"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v.</w:t>
      </w:r>
    </w:p>
    <w:p w14:paraId="0000000C"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GENIUS GAMES, INC.,</w:t>
      </w:r>
    </w:p>
    <w:p w14:paraId="0000000D"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RESPONDENT</w:t>
      </w:r>
    </w:p>
    <w:p w14:paraId="0000000E" w14:textId="77777777" w:rsidR="00F1592A" w:rsidRPr="00B22770" w:rsidRDefault="00F1592A">
      <w:pPr>
        <w:spacing w:line="479" w:lineRule="auto"/>
        <w:jc w:val="center"/>
        <w:rPr>
          <w:rFonts w:ascii="Times New Roman" w:eastAsia="Times New Roman" w:hAnsi="Times New Roman" w:cs="Times New Roman"/>
          <w:sz w:val="24"/>
          <w:szCs w:val="24"/>
        </w:rPr>
      </w:pPr>
    </w:p>
    <w:p w14:paraId="0000000F" w14:textId="77777777" w:rsidR="00F1592A" w:rsidRPr="00B22770" w:rsidRDefault="003577B4">
      <w:pPr>
        <w:spacing w:line="479"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pict w14:anchorId="095AB2B3">
          <v:rect id="_x0000_i1027" alt="" style="width:468pt;height:.05pt;mso-width-percent:0;mso-height-percent:0;mso-width-percent:0;mso-height-percent:0" o:hralign="center" o:hrstd="t" o:hr="t" fillcolor="#a0a0a0" stroked="f"/>
        </w:pict>
      </w:r>
    </w:p>
    <w:p w14:paraId="00000010" w14:textId="77777777" w:rsidR="00F1592A" w:rsidRPr="00B22770" w:rsidRDefault="003577B4">
      <w:pPr>
        <w:spacing w:line="479"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pict w14:anchorId="78B821C7">
          <v:rect id="_x0000_i1028" alt="" style="width:468pt;height:.05pt;mso-width-percent:0;mso-height-percent:0;mso-width-percent:0;mso-height-percent:0" o:hralign="center" o:hrstd="t" o:hr="t" fillcolor="#a0a0a0" stroked="f"/>
        </w:pict>
      </w:r>
      <w:r w:rsidR="00711B04" w:rsidRPr="00B22770">
        <w:rPr>
          <w:rFonts w:ascii="Times New Roman" w:eastAsia="Times New Roman" w:hAnsi="Times New Roman" w:cs="Times New Roman"/>
          <w:sz w:val="24"/>
          <w:szCs w:val="24"/>
        </w:rPr>
        <w:t xml:space="preserve"> </w:t>
      </w:r>
    </w:p>
    <w:p w14:paraId="00000011" w14:textId="77777777" w:rsidR="00F1592A" w:rsidRPr="00B22770" w:rsidRDefault="00F1592A">
      <w:pPr>
        <w:jc w:val="center"/>
        <w:rPr>
          <w:rFonts w:ascii="Times New Roman" w:eastAsia="Times New Roman" w:hAnsi="Times New Roman" w:cs="Times New Roman"/>
          <w:sz w:val="24"/>
          <w:szCs w:val="24"/>
        </w:rPr>
      </w:pPr>
    </w:p>
    <w:p w14:paraId="1CCCCF14" w14:textId="1175D0E9" w:rsidR="003577B4" w:rsidRPr="007B79F8" w:rsidRDefault="00711B04" w:rsidP="003577B4">
      <w:pPr>
        <w:tabs>
          <w:tab w:val="left" w:pos="-720"/>
        </w:tabs>
        <w:suppressAutoHyphens/>
        <w:spacing w:line="480" w:lineRule="auto"/>
        <w:ind w:left="720"/>
        <w:jc w:val="center"/>
        <w:rPr>
          <w:rFonts w:ascii="Times New Roman" w:hAnsi="Times New Roman" w:cs="Times New Roman"/>
          <w:spacing w:val="-3"/>
        </w:rPr>
      </w:pPr>
      <w:r w:rsidRPr="00B22770">
        <w:rPr>
          <w:rFonts w:ascii="Times New Roman" w:eastAsia="Times New Roman" w:hAnsi="Times New Roman" w:cs="Times New Roman"/>
          <w:sz w:val="24"/>
          <w:szCs w:val="24"/>
        </w:rPr>
        <w:t xml:space="preserve">On Writ of Certiorari to </w:t>
      </w:r>
      <w:r w:rsidR="003577B4">
        <w:rPr>
          <w:rFonts w:ascii="Times New Roman" w:eastAsia="Times New Roman" w:hAnsi="Times New Roman" w:cs="Times New Roman"/>
          <w:sz w:val="24"/>
          <w:szCs w:val="24"/>
        </w:rPr>
        <w:t xml:space="preserve">the </w:t>
      </w:r>
      <w:bookmarkStart w:id="1" w:name="dabmch_11"/>
      <w:r w:rsidR="003577B4" w:rsidRPr="00422D6E">
        <w:rPr>
          <w:rFonts w:ascii="Times New Roman" w:eastAsia="Times New Roman" w:hAnsi="Times New Roman" w:cs="Times New Roman"/>
          <w:sz w:val="24"/>
          <w:szCs w:val="24"/>
          <w:lang w:val="en-US"/>
        </w:rPr>
        <w:t xml:space="preserve">United States Court </w:t>
      </w:r>
      <w:r w:rsidR="003577B4">
        <w:rPr>
          <w:rFonts w:ascii="Times New Roman" w:eastAsia="Times New Roman" w:hAnsi="Times New Roman" w:cs="Times New Roman"/>
        </w:rPr>
        <w:t>o</w:t>
      </w:r>
      <w:r w:rsidR="003577B4" w:rsidRPr="00422D6E">
        <w:rPr>
          <w:rFonts w:ascii="Times New Roman" w:eastAsia="Times New Roman" w:hAnsi="Times New Roman" w:cs="Times New Roman"/>
          <w:sz w:val="24"/>
          <w:szCs w:val="24"/>
          <w:lang w:val="en-US"/>
        </w:rPr>
        <w:t>f</w:t>
      </w:r>
      <w:r w:rsidR="003577B4">
        <w:rPr>
          <w:rFonts w:ascii="Times New Roman" w:eastAsia="Times New Roman" w:hAnsi="Times New Roman" w:cs="Times New Roman"/>
          <w:sz w:val="24"/>
          <w:szCs w:val="24"/>
          <w:lang w:val="en-US"/>
        </w:rPr>
        <w:t xml:space="preserve"> Appeals</w:t>
      </w:r>
      <w:r w:rsidR="003577B4" w:rsidRPr="00422D6E">
        <w:rPr>
          <w:rFonts w:ascii="Times New Roman" w:eastAsia="Times New Roman" w:hAnsi="Times New Roman" w:cs="Times New Roman"/>
          <w:sz w:val="24"/>
          <w:szCs w:val="24"/>
          <w:lang w:val="en-US"/>
        </w:rPr>
        <w:t xml:space="preserve"> </w:t>
      </w:r>
      <w:r w:rsidR="003577B4">
        <w:rPr>
          <w:rFonts w:ascii="Times New Roman" w:eastAsia="Times New Roman" w:hAnsi="Times New Roman" w:cs="Times New Roman"/>
        </w:rPr>
        <w:t>f</w:t>
      </w:r>
      <w:r w:rsidR="003577B4" w:rsidRPr="00422D6E">
        <w:rPr>
          <w:rFonts w:ascii="Times New Roman" w:eastAsia="Times New Roman" w:hAnsi="Times New Roman" w:cs="Times New Roman"/>
          <w:sz w:val="24"/>
          <w:szCs w:val="24"/>
          <w:lang w:val="en-US"/>
        </w:rPr>
        <w:t xml:space="preserve">or </w:t>
      </w:r>
      <w:r w:rsidR="003577B4">
        <w:rPr>
          <w:rFonts w:ascii="Times New Roman" w:eastAsia="Times New Roman" w:hAnsi="Times New Roman" w:cs="Times New Roman"/>
        </w:rPr>
        <w:t>t</w:t>
      </w:r>
      <w:r w:rsidR="003577B4" w:rsidRPr="00422D6E">
        <w:rPr>
          <w:rFonts w:ascii="Times New Roman" w:eastAsia="Times New Roman" w:hAnsi="Times New Roman" w:cs="Times New Roman"/>
          <w:sz w:val="24"/>
          <w:szCs w:val="24"/>
          <w:lang w:val="en-US"/>
        </w:rPr>
        <w:t>he Fourteenth Circuit</w:t>
      </w:r>
      <w:r w:rsidR="003577B4" w:rsidRPr="007B79F8">
        <w:rPr>
          <w:rFonts w:ascii="Times New Roman" w:hAnsi="Times New Roman" w:cs="Times New Roman"/>
          <w:spacing w:val="-3"/>
        </w:rPr>
        <w:br/>
      </w:r>
      <w:bookmarkEnd w:id="1"/>
    </w:p>
    <w:p w14:paraId="00000012" w14:textId="3C2CC6A0" w:rsidR="00F1592A" w:rsidRPr="00B22770" w:rsidRDefault="00F1592A">
      <w:pPr>
        <w:jc w:val="center"/>
        <w:rPr>
          <w:rFonts w:ascii="Times New Roman" w:eastAsia="Times New Roman" w:hAnsi="Times New Roman" w:cs="Times New Roman"/>
          <w:sz w:val="24"/>
          <w:szCs w:val="24"/>
        </w:rPr>
      </w:pPr>
    </w:p>
    <w:p w14:paraId="00000013" w14:textId="77777777" w:rsidR="00F1592A" w:rsidRPr="00B22770" w:rsidRDefault="00711B04">
      <w:pP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p>
    <w:p w14:paraId="00000014" w14:textId="77777777" w:rsidR="00F1592A" w:rsidRPr="00B22770" w:rsidRDefault="003577B4">
      <w:pPr>
        <w:rPr>
          <w:rFonts w:ascii="Times New Roman" w:eastAsia="Times New Roman" w:hAnsi="Times New Roman" w:cs="Times New Roman"/>
          <w:sz w:val="24"/>
          <w:szCs w:val="24"/>
        </w:rPr>
      </w:pPr>
      <w:r>
        <w:rPr>
          <w:rFonts w:ascii="Times New Roman" w:hAnsi="Times New Roman" w:cs="Times New Roman"/>
          <w:noProof/>
          <w:sz w:val="24"/>
          <w:szCs w:val="24"/>
        </w:rPr>
        <w:pict w14:anchorId="63A70B36">
          <v:rect id="_x0000_i1029" alt="" style="width:468pt;height:.05pt;mso-width-percent:0;mso-height-percent:0;mso-width-percent:0;mso-height-percent:0" o:hralign="center" o:hrstd="t" o:hr="t" fillcolor="#a0a0a0" stroked="f"/>
        </w:pict>
      </w:r>
    </w:p>
    <w:p w14:paraId="00000015" w14:textId="77777777" w:rsidR="00F1592A" w:rsidRPr="00B22770" w:rsidRDefault="00711B04">
      <w:pP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p>
    <w:p w14:paraId="00000016" w14:textId="77777777" w:rsidR="00F1592A" w:rsidRPr="00B22770" w:rsidRDefault="00711B04">
      <w:pPr>
        <w:spacing w:line="479" w:lineRule="auto"/>
        <w:jc w:val="cente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BRIEF FOR PETITIONER</w:t>
      </w:r>
    </w:p>
    <w:p w14:paraId="00000017" w14:textId="77777777" w:rsidR="00F1592A" w:rsidRPr="00B22770" w:rsidRDefault="003577B4">
      <w:pPr>
        <w:spacing w:line="479" w:lineRule="auto"/>
        <w:jc w:val="center"/>
        <w:rPr>
          <w:rFonts w:ascii="Times New Roman" w:eastAsia="Times New Roman" w:hAnsi="Times New Roman" w:cs="Times New Roman"/>
          <w:sz w:val="24"/>
          <w:szCs w:val="24"/>
        </w:rPr>
      </w:pPr>
      <w:r>
        <w:rPr>
          <w:rFonts w:ascii="Times New Roman" w:hAnsi="Times New Roman" w:cs="Times New Roman"/>
          <w:noProof/>
          <w:sz w:val="24"/>
          <w:szCs w:val="24"/>
        </w:rPr>
        <w:pict w14:anchorId="2910A702">
          <v:rect id="_x0000_i1030" alt="" style="width:468pt;height:.05pt;mso-width-percent:0;mso-height-percent:0;mso-width-percent:0;mso-height-percent:0" o:hralign="center" o:hrstd="t" o:hr="t" fillcolor="#a0a0a0" stroked="f"/>
        </w:pict>
      </w:r>
    </w:p>
    <w:p w14:paraId="00000018" w14:textId="77777777" w:rsidR="00F1592A" w:rsidRPr="00B22770" w:rsidRDefault="00F1592A">
      <w:pPr>
        <w:spacing w:line="479" w:lineRule="auto"/>
        <w:jc w:val="center"/>
        <w:rPr>
          <w:rFonts w:ascii="Times New Roman" w:eastAsia="Times New Roman" w:hAnsi="Times New Roman" w:cs="Times New Roman"/>
          <w:sz w:val="24"/>
          <w:szCs w:val="24"/>
        </w:rPr>
      </w:pPr>
    </w:p>
    <w:p w14:paraId="7A63F0D3" w14:textId="77777777" w:rsidR="00B22770" w:rsidRPr="00B22770" w:rsidRDefault="00B22770" w:rsidP="00B22770">
      <w:pPr>
        <w:spacing w:line="479" w:lineRule="auto"/>
        <w:rPr>
          <w:rFonts w:ascii="Times New Roman" w:eastAsia="Times New Roman" w:hAnsi="Times New Roman" w:cs="Times New Roman"/>
          <w:sz w:val="24"/>
          <w:szCs w:val="24"/>
        </w:rPr>
      </w:pPr>
    </w:p>
    <w:p w14:paraId="0000001B" w14:textId="77777777" w:rsidR="00F1592A" w:rsidRPr="00B22770" w:rsidRDefault="00F1592A">
      <w:pPr>
        <w:spacing w:line="479" w:lineRule="auto"/>
        <w:jc w:val="center"/>
        <w:rPr>
          <w:rFonts w:ascii="Times New Roman" w:eastAsia="Times New Roman" w:hAnsi="Times New Roman" w:cs="Times New Roman"/>
          <w:sz w:val="24"/>
          <w:szCs w:val="24"/>
        </w:rPr>
      </w:pPr>
    </w:p>
    <w:p w14:paraId="0000001C" w14:textId="211D13A2" w:rsidR="00F1592A" w:rsidRPr="00B22770" w:rsidRDefault="003577B4">
      <w:pPr>
        <w:spacing w:line="479"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D" w14:textId="77777777" w:rsidR="00F1592A" w:rsidRPr="00B22770" w:rsidRDefault="00711B04">
      <w:pPr>
        <w:pStyle w:val="Heading1"/>
        <w:keepNext w:val="0"/>
        <w:keepLines w:val="0"/>
        <w:spacing w:before="480" w:after="0" w:line="250" w:lineRule="auto"/>
        <w:jc w:val="center"/>
        <w:rPr>
          <w:rFonts w:ascii="Times New Roman" w:eastAsia="Times New Roman" w:hAnsi="Times New Roman" w:cs="Times New Roman"/>
          <w:b/>
          <w:sz w:val="24"/>
          <w:szCs w:val="24"/>
          <w:u w:val="single"/>
        </w:rPr>
      </w:pPr>
      <w:bookmarkStart w:id="2" w:name="_ms4071lhngib" w:colFirst="0" w:colLast="0"/>
      <w:bookmarkEnd w:id="2"/>
      <w:r w:rsidRPr="00B22770">
        <w:rPr>
          <w:rFonts w:ascii="Times New Roman" w:eastAsia="Times New Roman" w:hAnsi="Times New Roman" w:cs="Times New Roman"/>
          <w:b/>
          <w:sz w:val="24"/>
          <w:szCs w:val="24"/>
          <w:u w:val="single"/>
        </w:rPr>
        <w:lastRenderedPageBreak/>
        <w:t>QUESTIONS PRESENTED</w:t>
      </w:r>
    </w:p>
    <w:p w14:paraId="0000001E" w14:textId="77777777" w:rsidR="00F1592A" w:rsidRPr="00B22770" w:rsidRDefault="00F1592A">
      <w:pPr>
        <w:rPr>
          <w:rFonts w:ascii="Times New Roman" w:hAnsi="Times New Roman" w:cs="Times New Roman"/>
          <w:sz w:val="24"/>
          <w:szCs w:val="24"/>
        </w:rPr>
      </w:pPr>
    </w:p>
    <w:p w14:paraId="0000001F" w14:textId="77777777" w:rsidR="00F1592A" w:rsidRPr="00B22770" w:rsidRDefault="00F1592A">
      <w:pPr>
        <w:rPr>
          <w:rFonts w:ascii="Times New Roman" w:hAnsi="Times New Roman" w:cs="Times New Roman"/>
          <w:sz w:val="24"/>
          <w:szCs w:val="24"/>
        </w:rPr>
      </w:pPr>
    </w:p>
    <w:p w14:paraId="00000020" w14:textId="77777777" w:rsidR="00F1592A" w:rsidRPr="00B22770" w:rsidRDefault="00711B04">
      <w:pPr>
        <w:numPr>
          <w:ilvl w:val="0"/>
          <w:numId w:val="17"/>
        </w:num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Whether the Fourteenth Circuit Court of Appeals incorrectly affirmed Appellees’ compliance with Rule 10b-5 and § 10(b) the Securities Exchange Act of 1934, where Appellees refused to disclose their inaction regarding sexual harassment allegations or change their zero-tolerance policy against sexual harassment in periodic securities disclosures. </w:t>
      </w:r>
    </w:p>
    <w:p w14:paraId="00000021" w14:textId="77777777" w:rsidR="00F1592A" w:rsidRPr="00B22770" w:rsidRDefault="00F1592A">
      <w:pPr>
        <w:spacing w:line="240" w:lineRule="auto"/>
        <w:ind w:left="720"/>
        <w:rPr>
          <w:rFonts w:ascii="Times New Roman" w:eastAsia="Times New Roman" w:hAnsi="Times New Roman" w:cs="Times New Roman"/>
          <w:sz w:val="24"/>
          <w:szCs w:val="24"/>
        </w:rPr>
      </w:pPr>
    </w:p>
    <w:p w14:paraId="00000022" w14:textId="77777777" w:rsidR="00F1592A" w:rsidRPr="00B22770" w:rsidRDefault="00711B04">
      <w:pPr>
        <w:numPr>
          <w:ilvl w:val="0"/>
          <w:numId w:val="17"/>
        </w:num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Whether the Fourteenth Circuit Court of Appeals incorrectly affirmed that the Act was unconstitutional under the extraterritoriality doctrine where the doctrine is unworkable precedent and an unnecessary tool for dormant Commerce Clause analysis, and the Act is outside the doctrine’s scope. </w:t>
      </w:r>
    </w:p>
    <w:p w14:paraId="00000023" w14:textId="77777777" w:rsidR="00F1592A" w:rsidRPr="00B22770" w:rsidRDefault="00F1592A">
      <w:pPr>
        <w:pStyle w:val="Heading2"/>
        <w:spacing w:after="80" w:line="194" w:lineRule="auto"/>
        <w:ind w:left="720"/>
        <w:jc w:val="both"/>
        <w:rPr>
          <w:rFonts w:ascii="Times New Roman" w:eastAsia="Times New Roman" w:hAnsi="Times New Roman" w:cs="Times New Roman"/>
          <w:sz w:val="24"/>
          <w:szCs w:val="24"/>
        </w:rPr>
        <w:sectPr w:rsidR="00F1592A" w:rsidRPr="00B22770">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pPr>
      <w:bookmarkStart w:id="3" w:name="_lzvud9rrgoet" w:colFirst="0" w:colLast="0"/>
      <w:bookmarkEnd w:id="3"/>
    </w:p>
    <w:p w14:paraId="00000024"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4" w:name="_gr0rqsku4wyv" w:colFirst="0" w:colLast="0"/>
      <w:bookmarkEnd w:id="4"/>
      <w:r w:rsidRPr="00B22770">
        <w:rPr>
          <w:rFonts w:ascii="Times New Roman" w:eastAsia="Times New Roman" w:hAnsi="Times New Roman" w:cs="Times New Roman"/>
          <w:b/>
          <w:sz w:val="24"/>
          <w:szCs w:val="24"/>
          <w:u w:val="single"/>
        </w:rPr>
        <w:lastRenderedPageBreak/>
        <w:t>TABLE OF CONTENTS</w:t>
      </w:r>
    </w:p>
    <w:sdt>
      <w:sdtPr>
        <w:rPr>
          <w:rFonts w:ascii="Times New Roman" w:hAnsi="Times New Roman" w:cs="Times New Roman"/>
          <w:sz w:val="24"/>
          <w:szCs w:val="24"/>
        </w:rPr>
        <w:id w:val="1275907186"/>
        <w:docPartObj>
          <w:docPartGallery w:val="Table of Contents"/>
          <w:docPartUnique/>
        </w:docPartObj>
      </w:sdtPr>
      <w:sdtEndPr/>
      <w:sdtContent>
        <w:p w14:paraId="00000025" w14:textId="77777777" w:rsidR="00F1592A" w:rsidRPr="00B22770" w:rsidRDefault="00711B04">
          <w:pPr>
            <w:tabs>
              <w:tab w:val="right" w:pos="9360"/>
            </w:tabs>
            <w:spacing w:before="80" w:line="240" w:lineRule="auto"/>
            <w:rPr>
              <w:rFonts w:ascii="Times New Roman" w:eastAsia="Times New Roman" w:hAnsi="Times New Roman" w:cs="Times New Roman"/>
              <w:color w:val="000000"/>
              <w:sz w:val="24"/>
              <w:szCs w:val="24"/>
            </w:rPr>
          </w:pPr>
          <w:r w:rsidRPr="00B22770">
            <w:rPr>
              <w:rFonts w:ascii="Times New Roman" w:hAnsi="Times New Roman" w:cs="Times New Roman"/>
              <w:sz w:val="24"/>
              <w:szCs w:val="24"/>
            </w:rPr>
            <w:fldChar w:fldCharType="begin"/>
          </w:r>
          <w:r w:rsidRPr="00B22770">
            <w:rPr>
              <w:rFonts w:ascii="Times New Roman" w:hAnsi="Times New Roman" w:cs="Times New Roman"/>
              <w:sz w:val="24"/>
              <w:szCs w:val="24"/>
            </w:rPr>
            <w:instrText xml:space="preserve"> TOC \h \u \z </w:instrText>
          </w:r>
          <w:r w:rsidRPr="00B22770">
            <w:rPr>
              <w:rFonts w:ascii="Times New Roman" w:hAnsi="Times New Roman" w:cs="Times New Roman"/>
              <w:sz w:val="24"/>
              <w:szCs w:val="24"/>
            </w:rPr>
            <w:fldChar w:fldCharType="separate"/>
          </w:r>
          <w:hyperlink w:anchor="_ms4071lhngib">
            <w:r w:rsidRPr="00B22770">
              <w:rPr>
                <w:rFonts w:ascii="Times New Roman" w:eastAsia="Times New Roman" w:hAnsi="Times New Roman" w:cs="Times New Roman"/>
                <w:color w:val="000000"/>
                <w:sz w:val="24"/>
                <w:szCs w:val="24"/>
              </w:rPr>
              <w:t>QUESTIONS PRESENTED</w:t>
            </w:r>
          </w:hyperlink>
          <w:r w:rsidRPr="00B22770">
            <w:rPr>
              <w:rFonts w:ascii="Times New Roman" w:eastAsia="Times New Roman" w:hAnsi="Times New Roman" w:cs="Times New Roman"/>
              <w:sz w:val="24"/>
              <w:szCs w:val="24"/>
            </w:rPr>
            <w:t>……………………………………………………………………</w:t>
          </w:r>
          <w:r w:rsidRPr="00B22770">
            <w:rPr>
              <w:rFonts w:ascii="Times New Roman" w:eastAsia="Times New Roman" w:hAnsi="Times New Roman" w:cs="Times New Roman"/>
              <w:color w:val="000000"/>
              <w:sz w:val="24"/>
              <w:szCs w:val="24"/>
            </w:rPr>
            <w:t>...</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color w:val="000000"/>
              <w:sz w:val="24"/>
              <w:szCs w:val="24"/>
            </w:rPr>
            <w:t>i</w:t>
          </w:r>
        </w:p>
        <w:p w14:paraId="00000026" w14:textId="4F2540BB"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gr0rqsku4wyv">
            <w:r w:rsidR="00711B04" w:rsidRPr="00B22770">
              <w:rPr>
                <w:rFonts w:ascii="Times New Roman" w:eastAsia="Times New Roman" w:hAnsi="Times New Roman" w:cs="Times New Roman"/>
                <w:color w:val="000000"/>
                <w:sz w:val="24"/>
                <w:szCs w:val="24"/>
              </w:rPr>
              <w:t>TABLE OF CONTENTS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eastAsia="Times New Roman" w:hAnsi="Times New Roman" w:cs="Times New Roman"/>
              <w:color w:val="000000"/>
              <w:sz w:val="24"/>
              <w:szCs w:val="24"/>
            </w:rPr>
            <w:t>ii</w:t>
          </w:r>
        </w:p>
        <w:p w14:paraId="00000027"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swhf4ew5uezj">
            <w:r w:rsidR="00711B04" w:rsidRPr="00B22770">
              <w:rPr>
                <w:rFonts w:ascii="Times New Roman" w:eastAsia="Times New Roman" w:hAnsi="Times New Roman" w:cs="Times New Roman"/>
                <w:color w:val="000000"/>
                <w:sz w:val="24"/>
                <w:szCs w:val="24"/>
              </w:rPr>
              <w:t>TABLE OF AUTHORITIES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eastAsia="Times New Roman" w:hAnsi="Times New Roman" w:cs="Times New Roman"/>
              <w:color w:val="000000"/>
              <w:sz w:val="24"/>
              <w:szCs w:val="24"/>
            </w:rPr>
            <w:t>i</w:t>
          </w:r>
          <w:r w:rsidR="00711B04" w:rsidRPr="00B22770">
            <w:rPr>
              <w:rFonts w:ascii="Times New Roman" w:eastAsia="Times New Roman" w:hAnsi="Times New Roman" w:cs="Times New Roman"/>
              <w:sz w:val="24"/>
              <w:szCs w:val="24"/>
            </w:rPr>
            <w:t>v</w:t>
          </w:r>
        </w:p>
        <w:p w14:paraId="00000028"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hlkzgznwexbq">
            <w:r w:rsidR="00711B04" w:rsidRPr="00B22770">
              <w:rPr>
                <w:rFonts w:ascii="Times New Roman" w:eastAsia="Times New Roman" w:hAnsi="Times New Roman" w:cs="Times New Roman"/>
                <w:color w:val="000000"/>
                <w:sz w:val="24"/>
                <w:szCs w:val="24"/>
              </w:rPr>
              <w:t>PROCEEDINGS BELOW</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_hlkzgznwexbq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w:t>
          </w:r>
          <w:r w:rsidR="00711B04" w:rsidRPr="00B22770">
            <w:rPr>
              <w:rFonts w:ascii="Times New Roman" w:hAnsi="Times New Roman" w:cs="Times New Roman"/>
              <w:sz w:val="24"/>
              <w:szCs w:val="24"/>
            </w:rPr>
            <w:fldChar w:fldCharType="end"/>
          </w:r>
        </w:p>
        <w:p w14:paraId="00000029"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n8kb5glvgfyt">
            <w:r w:rsidR="00711B04" w:rsidRPr="00B22770">
              <w:rPr>
                <w:rFonts w:ascii="Times New Roman" w:eastAsia="Times New Roman" w:hAnsi="Times New Roman" w:cs="Times New Roman"/>
                <w:color w:val="000000"/>
                <w:sz w:val="24"/>
                <w:szCs w:val="24"/>
              </w:rPr>
              <w:t>CONSTITUTIONAL PROVISIONS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_n8kb5glvgfyt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3</w:t>
          </w:r>
          <w:r w:rsidR="00711B04" w:rsidRPr="00B22770">
            <w:rPr>
              <w:rFonts w:ascii="Times New Roman" w:hAnsi="Times New Roman" w:cs="Times New Roman"/>
              <w:sz w:val="24"/>
              <w:szCs w:val="24"/>
            </w:rPr>
            <w:fldChar w:fldCharType="end"/>
          </w:r>
        </w:p>
        <w:p w14:paraId="0000002A" w14:textId="63311C79"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9yhaa3aq5xs9">
            <w:r w:rsidR="00711B04" w:rsidRPr="00B22770">
              <w:rPr>
                <w:rFonts w:ascii="Times New Roman" w:eastAsia="Times New Roman" w:hAnsi="Times New Roman" w:cs="Times New Roman"/>
                <w:color w:val="000000"/>
                <w:sz w:val="24"/>
                <w:szCs w:val="24"/>
              </w:rPr>
              <w:t>STATUTORY PROVISIONS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_9yhaa3aq5xs9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3</w:t>
          </w:r>
          <w:r w:rsidR="00711B04" w:rsidRPr="00B22770">
            <w:rPr>
              <w:rFonts w:ascii="Times New Roman" w:hAnsi="Times New Roman" w:cs="Times New Roman"/>
              <w:sz w:val="24"/>
              <w:szCs w:val="24"/>
            </w:rPr>
            <w:fldChar w:fldCharType="end"/>
          </w:r>
        </w:p>
        <w:p w14:paraId="0000002B"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g8zjinj4g9m6">
            <w:r w:rsidR="00711B04" w:rsidRPr="00B22770">
              <w:rPr>
                <w:rFonts w:ascii="Times New Roman" w:eastAsia="Times New Roman" w:hAnsi="Times New Roman" w:cs="Times New Roman"/>
                <w:color w:val="000000"/>
                <w:sz w:val="24"/>
                <w:szCs w:val="24"/>
              </w:rPr>
              <w:t>AGENCY PROVISIONS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_g8zjinj4g9m6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3</w:t>
          </w:r>
          <w:r w:rsidR="00711B04" w:rsidRPr="00B22770">
            <w:rPr>
              <w:rFonts w:ascii="Times New Roman" w:hAnsi="Times New Roman" w:cs="Times New Roman"/>
              <w:sz w:val="24"/>
              <w:szCs w:val="24"/>
            </w:rPr>
            <w:fldChar w:fldCharType="end"/>
          </w:r>
        </w:p>
        <w:p w14:paraId="0000002C"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2lywrzhtwvw7">
            <w:r w:rsidR="00711B04" w:rsidRPr="00B22770">
              <w:rPr>
                <w:rFonts w:ascii="Times New Roman" w:eastAsia="Times New Roman" w:hAnsi="Times New Roman" w:cs="Times New Roman"/>
                <w:color w:val="000000"/>
                <w:sz w:val="24"/>
                <w:szCs w:val="24"/>
              </w:rPr>
              <w:t>STATEMENT OF THE CASE</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_2lywrzhtwvw7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4</w:t>
          </w:r>
          <w:r w:rsidR="00711B04" w:rsidRPr="00B22770">
            <w:rPr>
              <w:rFonts w:ascii="Times New Roman" w:hAnsi="Times New Roman" w:cs="Times New Roman"/>
              <w:sz w:val="24"/>
              <w:szCs w:val="24"/>
            </w:rPr>
            <w:fldChar w:fldCharType="end"/>
          </w:r>
        </w:p>
        <w:p w14:paraId="0000002D"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9wk6dqwll741">
            <w:r w:rsidR="00711B04" w:rsidRPr="00B22770">
              <w:rPr>
                <w:rFonts w:ascii="Times New Roman" w:eastAsia="Times New Roman" w:hAnsi="Times New Roman" w:cs="Times New Roman"/>
                <w:color w:val="000000"/>
                <w:sz w:val="24"/>
                <w:szCs w:val="24"/>
              </w:rPr>
              <w:t>SUMMARY OF THE ARGUMENT</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_9wk6dqwll741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7</w:t>
          </w:r>
          <w:r w:rsidR="00711B04" w:rsidRPr="00B22770">
            <w:rPr>
              <w:rFonts w:ascii="Times New Roman" w:hAnsi="Times New Roman" w:cs="Times New Roman"/>
              <w:sz w:val="24"/>
              <w:szCs w:val="24"/>
            </w:rPr>
            <w:fldChar w:fldCharType="end"/>
          </w:r>
        </w:p>
        <w:p w14:paraId="0000002E" w14:textId="77777777" w:rsidR="00F1592A" w:rsidRPr="00B22770" w:rsidRDefault="003577B4">
          <w:pPr>
            <w:tabs>
              <w:tab w:val="right" w:pos="9360"/>
            </w:tabs>
            <w:spacing w:before="200" w:after="200" w:line="240" w:lineRule="auto"/>
            <w:rPr>
              <w:rFonts w:ascii="Times New Roman" w:eastAsia="Times New Roman" w:hAnsi="Times New Roman" w:cs="Times New Roman"/>
              <w:color w:val="000000"/>
              <w:sz w:val="24"/>
              <w:szCs w:val="24"/>
            </w:rPr>
          </w:pPr>
          <w:hyperlink w:anchor="_5v1h622vgwkn">
            <w:r w:rsidR="00711B04" w:rsidRPr="00B22770">
              <w:rPr>
                <w:rFonts w:ascii="Times New Roman" w:eastAsia="Times New Roman" w:hAnsi="Times New Roman" w:cs="Times New Roman"/>
                <w:color w:val="000000"/>
                <w:sz w:val="24"/>
                <w:szCs w:val="24"/>
              </w:rPr>
              <w:t>ARGUMENT</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_5v1h622vgwkn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9</w:t>
          </w:r>
          <w:r w:rsidR="00711B04" w:rsidRPr="00B22770">
            <w:rPr>
              <w:rFonts w:ascii="Times New Roman" w:hAnsi="Times New Roman" w:cs="Times New Roman"/>
              <w:sz w:val="24"/>
              <w:szCs w:val="24"/>
            </w:rPr>
            <w:fldChar w:fldCharType="end"/>
          </w:r>
        </w:p>
        <w:p w14:paraId="0000002F" w14:textId="6E1E464A" w:rsidR="00F1592A" w:rsidRPr="00B22770" w:rsidRDefault="003577B4">
          <w:pPr>
            <w:numPr>
              <w:ilvl w:val="0"/>
              <w:numId w:val="2"/>
            </w:numPr>
            <w:tabs>
              <w:tab w:val="right" w:pos="9360"/>
            </w:tabs>
            <w:spacing w:before="60" w:after="200" w:line="240" w:lineRule="auto"/>
            <w:rPr>
              <w:rFonts w:ascii="Times New Roman" w:eastAsia="Times New Roman" w:hAnsi="Times New Roman" w:cs="Times New Roman"/>
              <w:color w:val="000000"/>
              <w:sz w:val="24"/>
              <w:szCs w:val="24"/>
            </w:rPr>
          </w:pPr>
          <w:hyperlink w:anchor="_b5ucn4zielhb">
            <w:r w:rsidR="00711B04" w:rsidRPr="00B22770">
              <w:rPr>
                <w:rFonts w:ascii="Times New Roman" w:eastAsia="Times New Roman" w:hAnsi="Times New Roman" w:cs="Times New Roman"/>
                <w:color w:val="000000"/>
                <w:sz w:val="24"/>
                <w:szCs w:val="24"/>
              </w:rPr>
              <w:t>THE FOURTEENTH CIRCUIT COURT OF APPEALS INCORRECTLY AFFIRMED THE GRANT OF SUMMARY JUDGMENT FOR APPELLEES BECAUSE APPELLEES VIOLATED REGULATORY RULE 10B-5 BY MATERIALLY MISREPRESENTING THEIR ZERO-TOLERANCE POLICY IN THEIR ANNUAL AND QUARTERLY SECURITIES DISCLOSURES.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_b5ucn4zielhb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9</w:t>
          </w:r>
          <w:r w:rsidR="00711B04" w:rsidRPr="00B22770">
            <w:rPr>
              <w:rFonts w:ascii="Times New Roman" w:hAnsi="Times New Roman" w:cs="Times New Roman"/>
              <w:sz w:val="24"/>
              <w:szCs w:val="24"/>
            </w:rPr>
            <w:fldChar w:fldCharType="end"/>
          </w:r>
        </w:p>
        <w:p w14:paraId="00000030" w14:textId="77777777" w:rsidR="00F1592A" w:rsidRPr="00B22770" w:rsidRDefault="003577B4">
          <w:pPr>
            <w:numPr>
              <w:ilvl w:val="0"/>
              <w:numId w:val="4"/>
            </w:numPr>
            <w:tabs>
              <w:tab w:val="right" w:pos="9360"/>
            </w:tabs>
            <w:spacing w:after="200" w:line="240" w:lineRule="auto"/>
            <w:ind w:left="1080"/>
            <w:rPr>
              <w:rFonts w:ascii="Times New Roman" w:eastAsia="Times New Roman" w:hAnsi="Times New Roman" w:cs="Times New Roman"/>
              <w:color w:val="000000"/>
              <w:sz w:val="24"/>
              <w:szCs w:val="24"/>
            </w:rPr>
          </w:pPr>
          <w:hyperlink w:anchor="_5gh9hsszak28">
            <w:r w:rsidR="00711B04" w:rsidRPr="00B22770">
              <w:rPr>
                <w:rFonts w:ascii="Times New Roman" w:eastAsia="Times New Roman" w:hAnsi="Times New Roman" w:cs="Times New Roman"/>
                <w:color w:val="000000"/>
                <w:sz w:val="24"/>
                <w:szCs w:val="24"/>
                <w:u w:val="single"/>
              </w:rPr>
              <w:t>Astoria has a private right of action under Rule 10b-5 because her securities fraud claim is in line with Congress’s goals in enacting the SEA and overwhelmingly supportive federal-court precedent</w:t>
            </w:r>
          </w:hyperlink>
          <w:r w:rsidR="00711B04" w:rsidRPr="00B22770">
            <w:rPr>
              <w:rFonts w:ascii="Times New Roman" w:eastAsia="Times New Roman" w:hAnsi="Times New Roman" w:cs="Times New Roman"/>
              <w:color w:val="000000"/>
              <w:sz w:val="24"/>
              <w:szCs w:val="24"/>
              <w:u w:val="single"/>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_5gh9hsszak28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10</w:t>
          </w:r>
          <w:r w:rsidR="00711B04" w:rsidRPr="00B22770">
            <w:rPr>
              <w:rFonts w:ascii="Times New Roman" w:hAnsi="Times New Roman" w:cs="Times New Roman"/>
              <w:sz w:val="24"/>
              <w:szCs w:val="24"/>
            </w:rPr>
            <w:fldChar w:fldCharType="end"/>
          </w:r>
        </w:p>
        <w:p w14:paraId="00000031" w14:textId="017B03BE" w:rsidR="00F1592A" w:rsidRPr="00B22770" w:rsidRDefault="003577B4">
          <w:pPr>
            <w:numPr>
              <w:ilvl w:val="0"/>
              <w:numId w:val="1"/>
            </w:numPr>
            <w:tabs>
              <w:tab w:val="right" w:pos="9360"/>
            </w:tabs>
            <w:spacing w:after="200" w:line="240" w:lineRule="auto"/>
            <w:rPr>
              <w:rFonts w:ascii="Times New Roman" w:eastAsia="Times New Roman" w:hAnsi="Times New Roman" w:cs="Times New Roman"/>
              <w:color w:val="000000"/>
              <w:sz w:val="24"/>
              <w:szCs w:val="24"/>
            </w:rPr>
          </w:pPr>
          <w:hyperlink w:anchor="_m22sqijgadxr">
            <w:r w:rsidR="00711B04" w:rsidRPr="00B22770">
              <w:rPr>
                <w:rFonts w:ascii="Times New Roman" w:eastAsia="Times New Roman" w:hAnsi="Times New Roman" w:cs="Times New Roman"/>
                <w:color w:val="000000"/>
                <w:sz w:val="24"/>
                <w:szCs w:val="24"/>
              </w:rPr>
              <w:t>Rule 10b-5 gives Astoria a private right of action because the SEA specifically prohibits including misleading statements in SEC disclosures.</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_m22sqijgadxr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11</w:t>
          </w:r>
          <w:r w:rsidR="00711B04" w:rsidRPr="00B22770">
            <w:rPr>
              <w:rFonts w:ascii="Times New Roman" w:hAnsi="Times New Roman" w:cs="Times New Roman"/>
              <w:sz w:val="24"/>
              <w:szCs w:val="24"/>
            </w:rPr>
            <w:fldChar w:fldCharType="end"/>
          </w:r>
        </w:p>
        <w:p w14:paraId="00000032" w14:textId="77777777" w:rsidR="00F1592A" w:rsidRPr="00B22770" w:rsidRDefault="003577B4">
          <w:pPr>
            <w:numPr>
              <w:ilvl w:val="0"/>
              <w:numId w:val="1"/>
            </w:numPr>
            <w:tabs>
              <w:tab w:val="right" w:pos="9360"/>
            </w:tabs>
            <w:spacing w:after="200" w:line="240" w:lineRule="auto"/>
            <w:rPr>
              <w:rFonts w:ascii="Times New Roman" w:eastAsia="Times New Roman" w:hAnsi="Times New Roman" w:cs="Times New Roman"/>
              <w:color w:val="000000"/>
              <w:sz w:val="24"/>
              <w:szCs w:val="24"/>
            </w:rPr>
          </w:pPr>
          <w:hyperlink w:anchor="_eo5bj9a8snj4">
            <w:r w:rsidR="00711B04" w:rsidRPr="00B22770">
              <w:rPr>
                <w:rFonts w:ascii="Times New Roman" w:eastAsia="Times New Roman" w:hAnsi="Times New Roman" w:cs="Times New Roman"/>
                <w:color w:val="000000"/>
                <w:sz w:val="24"/>
                <w:szCs w:val="24"/>
              </w:rPr>
              <w:t>Rule 10b-5 provides Astoria a private right of action because federal courts typically grant private rights of action to petitioners alleging harm from the effect of securities fraud on the public market.</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_eo5bj9a8snj4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12</w:t>
          </w:r>
          <w:r w:rsidR="00711B04" w:rsidRPr="00B22770">
            <w:rPr>
              <w:rFonts w:ascii="Times New Roman" w:hAnsi="Times New Roman" w:cs="Times New Roman"/>
              <w:sz w:val="24"/>
              <w:szCs w:val="24"/>
            </w:rPr>
            <w:fldChar w:fldCharType="end"/>
          </w:r>
        </w:p>
        <w:p w14:paraId="00000033" w14:textId="77777777" w:rsidR="00F1592A" w:rsidRPr="00B22770" w:rsidRDefault="003577B4">
          <w:pPr>
            <w:numPr>
              <w:ilvl w:val="0"/>
              <w:numId w:val="15"/>
            </w:numPr>
            <w:tabs>
              <w:tab w:val="right" w:pos="9360"/>
            </w:tabs>
            <w:spacing w:after="200" w:line="240" w:lineRule="auto"/>
            <w:ind w:left="1080"/>
            <w:rPr>
              <w:rFonts w:ascii="Times New Roman" w:eastAsia="Times New Roman" w:hAnsi="Times New Roman" w:cs="Times New Roman"/>
              <w:color w:val="000000"/>
              <w:sz w:val="24"/>
              <w:szCs w:val="24"/>
            </w:rPr>
          </w:pPr>
          <w:hyperlink w:anchor="_nsmf53e3862k">
            <w:r w:rsidR="00711B04" w:rsidRPr="00B22770">
              <w:rPr>
                <w:rFonts w:ascii="Times New Roman" w:eastAsia="Times New Roman" w:hAnsi="Times New Roman" w:cs="Times New Roman"/>
                <w:color w:val="000000"/>
                <w:sz w:val="24"/>
                <w:szCs w:val="24"/>
                <w:u w:val="single"/>
              </w:rPr>
              <w:t>Appellees repeatedly violated Rule 10b-5 in periodic SEC disclosures by materially misrepresenting their zero-tolerance policy for sexual harassment</w:t>
            </w:r>
          </w:hyperlink>
          <w:hyperlink w:anchor="_nsmf53e3862k">
            <w:r w:rsidR="00711B04" w:rsidRPr="00B22770">
              <w:rPr>
                <w:rFonts w:ascii="Times New Roman" w:eastAsia="Times New Roman" w:hAnsi="Times New Roman" w:cs="Times New Roman"/>
                <w:color w:val="000000"/>
                <w:sz w:val="24"/>
                <w:szCs w:val="24"/>
              </w:rPr>
              <w:t>.</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w:t>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_nsmf53e3862k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12</w:t>
          </w:r>
          <w:r w:rsidR="00711B04" w:rsidRPr="00B22770">
            <w:rPr>
              <w:rFonts w:ascii="Times New Roman" w:hAnsi="Times New Roman" w:cs="Times New Roman"/>
              <w:sz w:val="24"/>
              <w:szCs w:val="24"/>
            </w:rPr>
            <w:fldChar w:fldCharType="end"/>
          </w:r>
        </w:p>
        <w:p w14:paraId="00000034" w14:textId="77777777" w:rsidR="00F1592A" w:rsidRPr="00B22770" w:rsidRDefault="003577B4">
          <w:pPr>
            <w:numPr>
              <w:ilvl w:val="0"/>
              <w:numId w:val="11"/>
            </w:numPr>
            <w:tabs>
              <w:tab w:val="right" w:pos="9360"/>
            </w:tabs>
            <w:spacing w:after="200" w:line="240" w:lineRule="auto"/>
            <w:rPr>
              <w:rFonts w:ascii="Times New Roman" w:eastAsia="Times New Roman" w:hAnsi="Times New Roman" w:cs="Times New Roman"/>
              <w:color w:val="000000"/>
              <w:sz w:val="24"/>
              <w:szCs w:val="24"/>
            </w:rPr>
          </w:pPr>
          <w:hyperlink w:anchor="_1cdxmwxx6ydb">
            <w:r w:rsidR="00711B04" w:rsidRPr="00B22770">
              <w:rPr>
                <w:rFonts w:ascii="Times New Roman" w:eastAsia="Times New Roman" w:hAnsi="Times New Roman" w:cs="Times New Roman"/>
                <w:color w:val="000000"/>
                <w:sz w:val="24"/>
                <w:szCs w:val="24"/>
              </w:rPr>
              <w:t>Appellees’ zero-tolerance policy was material because of the policy’s specificity, periodic appearances in public SEC disclosures, and effect on the market when revealed as inaccurate.</w:t>
            </w:r>
          </w:hyperlink>
          <w:r w:rsidR="00711B04" w:rsidRPr="00B22770">
            <w:rPr>
              <w:rFonts w:ascii="Times New Roman" w:eastAsia="Times New Roman" w:hAnsi="Times New Roman" w:cs="Times New Roman"/>
              <w:sz w:val="24"/>
              <w:szCs w:val="24"/>
            </w:rPr>
            <w:t xml:space="preserve">………………………………………………………….. </w:t>
          </w:r>
          <w:hyperlink w:anchor="_1cdxmwxx6ydb">
            <w:r w:rsidR="00711B04" w:rsidRPr="00B22770">
              <w:rPr>
                <w:rFonts w:ascii="Times New Roman" w:eastAsia="Times New Roman" w:hAnsi="Times New Roman" w:cs="Times New Roman"/>
                <w:color w:val="000000"/>
                <w:sz w:val="24"/>
                <w:szCs w:val="24"/>
              </w:rPr>
              <w:t>13</w:t>
            </w:r>
          </w:hyperlink>
        </w:p>
        <w:p w14:paraId="00000035" w14:textId="0C6D0D20" w:rsidR="00F1592A" w:rsidRPr="00B22770" w:rsidRDefault="003577B4">
          <w:pPr>
            <w:numPr>
              <w:ilvl w:val="0"/>
              <w:numId w:val="11"/>
            </w:numPr>
            <w:tabs>
              <w:tab w:val="right" w:pos="9360"/>
            </w:tabs>
            <w:spacing w:after="200" w:line="240" w:lineRule="auto"/>
            <w:rPr>
              <w:rFonts w:ascii="Times New Roman" w:eastAsia="Times New Roman" w:hAnsi="Times New Roman" w:cs="Times New Roman"/>
              <w:color w:val="000000"/>
              <w:sz w:val="24"/>
              <w:szCs w:val="24"/>
            </w:rPr>
          </w:pPr>
          <w:hyperlink w:anchor="_x02a7vj8x033">
            <w:r w:rsidR="00711B04" w:rsidRPr="00B22770">
              <w:rPr>
                <w:rFonts w:ascii="Times New Roman" w:eastAsia="Times New Roman" w:hAnsi="Times New Roman" w:cs="Times New Roman"/>
                <w:color w:val="000000"/>
                <w:sz w:val="24"/>
                <w:szCs w:val="24"/>
              </w:rPr>
              <w:t>By choosing to include references to their Code of Conduct in SEC filings, Appellees had a duty to speak truthfully and completely about their material zero-tolerance policy in order to not mislead investors.</w:t>
            </w:r>
          </w:hyperlink>
          <w:r w:rsidR="00711B04" w:rsidRPr="00B22770">
            <w:rPr>
              <w:rFonts w:ascii="Times New Roman" w:eastAsia="Times New Roman" w:hAnsi="Times New Roman" w:cs="Times New Roman"/>
              <w:sz w:val="24"/>
              <w:szCs w:val="24"/>
            </w:rPr>
            <w:t>……………………...</w:t>
          </w:r>
          <w:r w:rsid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sz w:val="24"/>
              <w:szCs w:val="24"/>
            </w:rPr>
            <w:t>…</w:t>
          </w:r>
          <w:r w:rsidR="00B22770">
            <w:rPr>
              <w:rFonts w:ascii="Times New Roman" w:eastAsia="Times New Roman" w:hAnsi="Times New Roman" w:cs="Times New Roman"/>
              <w:sz w:val="24"/>
              <w:szCs w:val="24"/>
            </w:rPr>
            <w:t>.</w:t>
          </w:r>
          <w:hyperlink w:anchor="_x02a7vj8x033">
            <w:r w:rsidR="00711B04" w:rsidRPr="00B22770">
              <w:rPr>
                <w:rFonts w:ascii="Times New Roman" w:eastAsia="Times New Roman" w:hAnsi="Times New Roman" w:cs="Times New Roman"/>
                <w:color w:val="000000"/>
                <w:sz w:val="24"/>
                <w:szCs w:val="24"/>
              </w:rPr>
              <w:t>15</w:t>
            </w:r>
          </w:hyperlink>
        </w:p>
        <w:p w14:paraId="00000036" w14:textId="00F99725" w:rsidR="00F1592A" w:rsidRPr="00B22770" w:rsidRDefault="003577B4">
          <w:pPr>
            <w:numPr>
              <w:ilvl w:val="0"/>
              <w:numId w:val="11"/>
            </w:numPr>
            <w:tabs>
              <w:tab w:val="right" w:pos="9360"/>
            </w:tabs>
            <w:spacing w:after="200" w:line="240" w:lineRule="auto"/>
            <w:rPr>
              <w:rFonts w:ascii="Times New Roman" w:eastAsia="Times New Roman" w:hAnsi="Times New Roman" w:cs="Times New Roman"/>
              <w:color w:val="000000"/>
              <w:sz w:val="24"/>
              <w:szCs w:val="24"/>
            </w:rPr>
          </w:pPr>
          <w:hyperlink w:anchor="_rvwjz7gw14d3">
            <w:r w:rsidR="00711B04" w:rsidRPr="00B22770">
              <w:rPr>
                <w:rFonts w:ascii="Times New Roman" w:eastAsia="Times New Roman" w:hAnsi="Times New Roman" w:cs="Times New Roman"/>
                <w:color w:val="000000"/>
                <w:sz w:val="24"/>
                <w:szCs w:val="24"/>
              </w:rPr>
              <w:t>Once Appellees realized their forward-looking and reasonably reliable zero-tolerance policy was inaccurate, they had a duty to correct the policy</w:t>
            </w:r>
          </w:hyperlink>
          <w:r w:rsidR="00711B04" w:rsidRPr="00B22770">
            <w:rPr>
              <w:rFonts w:ascii="Times New Roman" w:eastAsia="Times New Roman" w:hAnsi="Times New Roman" w:cs="Times New Roman"/>
              <w:sz w:val="24"/>
              <w:szCs w:val="24"/>
            </w:rPr>
            <w:t>……</w:t>
          </w:r>
          <w:r w:rsidR="00B22770">
            <w:rPr>
              <w:rFonts w:ascii="Times New Roman" w:eastAsia="Times New Roman" w:hAnsi="Times New Roman" w:cs="Times New Roman"/>
              <w:sz w:val="24"/>
              <w:szCs w:val="24"/>
            </w:rPr>
            <w:t>…</w:t>
          </w:r>
          <w:r w:rsidR="00B22770">
            <w:rPr>
              <w:rFonts w:ascii="Times New Roman" w:eastAsia="Times New Roman" w:hAnsi="Times New Roman" w:cs="Times New Roman"/>
              <w:color w:val="000000"/>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_rvwjz7gw14d3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17</w:t>
          </w:r>
          <w:r w:rsidR="00711B04" w:rsidRPr="00B22770">
            <w:rPr>
              <w:rFonts w:ascii="Times New Roman" w:hAnsi="Times New Roman" w:cs="Times New Roman"/>
              <w:sz w:val="24"/>
              <w:szCs w:val="24"/>
            </w:rPr>
            <w:fldChar w:fldCharType="end"/>
          </w:r>
        </w:p>
        <w:p w14:paraId="00000037" w14:textId="5474C0B4" w:rsidR="00F1592A" w:rsidRPr="00B22770" w:rsidRDefault="003577B4">
          <w:pPr>
            <w:numPr>
              <w:ilvl w:val="0"/>
              <w:numId w:val="10"/>
            </w:numPr>
            <w:tabs>
              <w:tab w:val="right" w:pos="9360"/>
            </w:tabs>
            <w:spacing w:after="200" w:line="240" w:lineRule="auto"/>
            <w:rPr>
              <w:rFonts w:ascii="Times New Roman" w:eastAsia="Times New Roman" w:hAnsi="Times New Roman" w:cs="Times New Roman"/>
              <w:color w:val="000000"/>
              <w:sz w:val="24"/>
              <w:szCs w:val="24"/>
            </w:rPr>
          </w:pPr>
          <w:hyperlink w:anchor="_k6w24jvi5ndl">
            <w:r w:rsidR="00711B04" w:rsidRPr="00B22770">
              <w:rPr>
                <w:rFonts w:ascii="Times New Roman" w:eastAsia="Times New Roman" w:hAnsi="Times New Roman" w:cs="Times New Roman"/>
                <w:color w:val="000000"/>
                <w:sz w:val="24"/>
                <w:szCs w:val="24"/>
              </w:rPr>
              <w:t>THE FOURTEENTH CIRCUIT INCORRECTLY AFFIRMED THE GRANT OF SUMMARY JUDGMENT FOR APPELLEES BY FINDING THE ACT UNCONSTITUTIONAL UNDER THE EXTRATERRITORIALITY DOCTRINE BECAUSE THE DOCTRINE HAS PROVEN UNWORKABLE AND UNNECESSARY AND THE ACT IS BEYOND THE DOCTRINE’S SCOPE</w:t>
            </w:r>
          </w:hyperlink>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_k6w24jvi5ndl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19</w:t>
          </w:r>
          <w:r w:rsidR="00711B04" w:rsidRPr="00B22770">
            <w:rPr>
              <w:rFonts w:ascii="Times New Roman" w:hAnsi="Times New Roman" w:cs="Times New Roman"/>
              <w:sz w:val="24"/>
              <w:szCs w:val="24"/>
            </w:rPr>
            <w:fldChar w:fldCharType="end"/>
          </w:r>
        </w:p>
        <w:p w14:paraId="00000038" w14:textId="6BC50384" w:rsidR="00F1592A" w:rsidRPr="00B22770" w:rsidRDefault="003577B4">
          <w:pPr>
            <w:numPr>
              <w:ilvl w:val="0"/>
              <w:numId w:val="9"/>
            </w:numPr>
            <w:tabs>
              <w:tab w:val="right" w:pos="9360"/>
            </w:tabs>
            <w:spacing w:after="200" w:line="240" w:lineRule="auto"/>
            <w:rPr>
              <w:rFonts w:ascii="Times New Roman" w:eastAsia="Times New Roman" w:hAnsi="Times New Roman" w:cs="Times New Roman"/>
              <w:color w:val="000000"/>
              <w:sz w:val="24"/>
              <w:szCs w:val="24"/>
            </w:rPr>
          </w:pPr>
          <w:hyperlink w:anchor="_jm4rqvv9mswx">
            <w:r w:rsidR="00711B04" w:rsidRPr="00B22770">
              <w:rPr>
                <w:rFonts w:ascii="Times New Roman" w:eastAsia="Times New Roman" w:hAnsi="Times New Roman" w:cs="Times New Roman"/>
                <w:color w:val="000000"/>
                <w:sz w:val="24"/>
                <w:szCs w:val="24"/>
                <w:u w:val="single"/>
              </w:rPr>
              <w:t>The extraterritoriality doctrine is no longer a useful tool for dormant Commerce Clause analysis because it is unworkable and unclear, and developments in related legal principles law have made the doctrine unnecessary and outdated</w:t>
            </w:r>
          </w:hyperlink>
          <w:r w:rsidR="00711B04" w:rsidRPr="00B22770">
            <w:rPr>
              <w:rFonts w:ascii="Times New Roman" w:eastAsia="Times New Roman" w:hAnsi="Times New Roman" w:cs="Times New Roman"/>
              <w:sz w:val="24"/>
              <w:szCs w:val="24"/>
            </w:rPr>
            <w:t>…………….</w:t>
          </w:r>
          <w:r w:rsidR="00B22770">
            <w:rPr>
              <w:rFonts w:ascii="Times New Roman" w:eastAsia="Times New Roman" w:hAnsi="Times New Roman" w:cs="Times New Roman"/>
              <w:sz w:val="24"/>
              <w:szCs w:val="24"/>
            </w:rPr>
            <w:t xml:space="preserve"> </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_jm4rqvv9mswx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21</w:t>
          </w:r>
          <w:r w:rsidR="00711B04" w:rsidRPr="00B22770">
            <w:rPr>
              <w:rFonts w:ascii="Times New Roman" w:hAnsi="Times New Roman" w:cs="Times New Roman"/>
              <w:sz w:val="24"/>
              <w:szCs w:val="24"/>
            </w:rPr>
            <w:fldChar w:fldCharType="end"/>
          </w:r>
        </w:p>
        <w:p w14:paraId="00000039" w14:textId="77777777" w:rsidR="00F1592A" w:rsidRPr="00B22770" w:rsidRDefault="003577B4">
          <w:pPr>
            <w:numPr>
              <w:ilvl w:val="0"/>
              <w:numId w:val="12"/>
            </w:numPr>
            <w:tabs>
              <w:tab w:val="right" w:pos="9360"/>
            </w:tabs>
            <w:spacing w:after="200" w:line="240" w:lineRule="auto"/>
            <w:rPr>
              <w:rFonts w:ascii="Times New Roman" w:eastAsia="Times New Roman" w:hAnsi="Times New Roman" w:cs="Times New Roman"/>
              <w:color w:val="000000"/>
              <w:sz w:val="24"/>
              <w:szCs w:val="24"/>
            </w:rPr>
          </w:pPr>
          <w:hyperlink w:anchor="_jslhgvqka1t0">
            <w:r w:rsidR="00711B04" w:rsidRPr="00B22770">
              <w:rPr>
                <w:rFonts w:ascii="Times New Roman" w:eastAsia="Times New Roman" w:hAnsi="Times New Roman" w:cs="Times New Roman"/>
                <w:color w:val="000000"/>
                <w:sz w:val="24"/>
                <w:szCs w:val="24"/>
              </w:rPr>
              <w:t>Extraterritoriality doctrine jurisprudence has become unworkable and unclear,creating confusion in the lower federal courts</w:t>
            </w:r>
          </w:hyperlink>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_jslhgvqka1t0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22</w:t>
          </w:r>
          <w:r w:rsidR="00711B04" w:rsidRPr="00B22770">
            <w:rPr>
              <w:rFonts w:ascii="Times New Roman" w:hAnsi="Times New Roman" w:cs="Times New Roman"/>
              <w:sz w:val="24"/>
              <w:szCs w:val="24"/>
            </w:rPr>
            <w:fldChar w:fldCharType="end"/>
          </w:r>
        </w:p>
        <w:p w14:paraId="0000003A" w14:textId="77777777" w:rsidR="00F1592A" w:rsidRPr="00B22770" w:rsidRDefault="003577B4">
          <w:pPr>
            <w:numPr>
              <w:ilvl w:val="0"/>
              <w:numId w:val="12"/>
            </w:numPr>
            <w:tabs>
              <w:tab w:val="right" w:pos="9360"/>
            </w:tabs>
            <w:spacing w:after="200" w:line="240" w:lineRule="auto"/>
            <w:rPr>
              <w:rFonts w:ascii="Times New Roman" w:eastAsia="Times New Roman" w:hAnsi="Times New Roman" w:cs="Times New Roman"/>
              <w:color w:val="000000"/>
              <w:sz w:val="24"/>
              <w:szCs w:val="24"/>
            </w:rPr>
          </w:pPr>
          <w:hyperlink w:anchor="_7s9wfr4m4df7">
            <w:r w:rsidR="00711B04" w:rsidRPr="00B22770">
              <w:rPr>
                <w:rFonts w:ascii="Times New Roman" w:eastAsia="Times New Roman" w:hAnsi="Times New Roman" w:cs="Times New Roman"/>
                <w:color w:val="000000"/>
                <w:sz w:val="24"/>
                <w:szCs w:val="24"/>
              </w:rPr>
              <w:t>Developments in related law have made the extraterritoriality doctrine outdated and unnecessary</w:t>
            </w:r>
          </w:hyperlink>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_7s9wfr4m4df7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23</w:t>
          </w:r>
          <w:r w:rsidR="00711B04" w:rsidRPr="00B22770">
            <w:rPr>
              <w:rFonts w:ascii="Times New Roman" w:hAnsi="Times New Roman" w:cs="Times New Roman"/>
              <w:sz w:val="24"/>
              <w:szCs w:val="24"/>
            </w:rPr>
            <w:fldChar w:fldCharType="end"/>
          </w:r>
        </w:p>
        <w:p w14:paraId="0000003B" w14:textId="0E4E29DD" w:rsidR="00F1592A" w:rsidRPr="00B22770" w:rsidRDefault="003577B4">
          <w:pPr>
            <w:numPr>
              <w:ilvl w:val="0"/>
              <w:numId w:val="7"/>
            </w:numPr>
            <w:tabs>
              <w:tab w:val="right" w:pos="9360"/>
            </w:tabs>
            <w:spacing w:after="200" w:line="240" w:lineRule="auto"/>
            <w:rPr>
              <w:rFonts w:ascii="Times New Roman" w:eastAsia="Times New Roman" w:hAnsi="Times New Roman" w:cs="Times New Roman"/>
              <w:color w:val="000000"/>
              <w:sz w:val="24"/>
              <w:szCs w:val="24"/>
            </w:rPr>
          </w:pPr>
          <w:hyperlink w:anchor="_nd2bj8osuwl">
            <w:r w:rsidR="00711B04" w:rsidRPr="00B22770">
              <w:rPr>
                <w:rFonts w:ascii="Times New Roman" w:eastAsia="Times New Roman" w:hAnsi="Times New Roman" w:cs="Times New Roman"/>
                <w:color w:val="000000"/>
                <w:sz w:val="24"/>
                <w:szCs w:val="24"/>
              </w:rPr>
              <w:t>The Act is valid under the extraterritoriality doctrine of the dormant Commerce Clause because it affects both in and out-of-state commerce, putting it outside the doctrine’s scope</w:t>
            </w:r>
          </w:hyperlink>
          <w:r w:rsidR="00711B04" w:rsidRPr="00B22770">
            <w:rPr>
              <w:rFonts w:ascii="Times New Roman" w:eastAsia="Times New Roman" w:hAnsi="Times New Roman" w:cs="Times New Roman"/>
              <w:sz w:val="24"/>
              <w:szCs w:val="24"/>
            </w:rPr>
            <w:t xml:space="preserve">…………………………………………………………………….. </w:t>
          </w:r>
          <w:r w:rsidR="00711B04" w:rsidRPr="00B22770">
            <w:rPr>
              <w:rFonts w:ascii="Times New Roman" w:eastAsia="Times New Roman" w:hAnsi="Times New Roman" w:cs="Times New Roman"/>
              <w:color w:val="000000"/>
              <w:sz w:val="24"/>
              <w:szCs w:val="24"/>
            </w:rPr>
            <w:tab/>
          </w:r>
          <w:r w:rsidR="003E1A60">
            <w:rPr>
              <w:rFonts w:ascii="Times New Roman" w:hAnsi="Times New Roman" w:cs="Times New Roman"/>
              <w:sz w:val="24"/>
              <w:szCs w:val="24"/>
            </w:rPr>
            <w:t>24</w:t>
          </w:r>
        </w:p>
        <w:p w14:paraId="0000003C" w14:textId="77777777" w:rsidR="00F1592A" w:rsidRPr="00B22770" w:rsidRDefault="003577B4">
          <w:pPr>
            <w:numPr>
              <w:ilvl w:val="0"/>
              <w:numId w:val="18"/>
            </w:numPr>
            <w:tabs>
              <w:tab w:val="right" w:pos="9360"/>
            </w:tabs>
            <w:spacing w:after="200" w:line="240" w:lineRule="auto"/>
            <w:rPr>
              <w:rFonts w:ascii="Times New Roman" w:eastAsia="Times New Roman" w:hAnsi="Times New Roman" w:cs="Times New Roman"/>
              <w:color w:val="000000"/>
              <w:sz w:val="24"/>
              <w:szCs w:val="24"/>
            </w:rPr>
          </w:pPr>
          <w:hyperlink w:anchor="_ygflxdusdadr">
            <w:r w:rsidR="00711B04" w:rsidRPr="00B22770">
              <w:rPr>
                <w:rFonts w:ascii="Times New Roman" w:eastAsia="Times New Roman" w:hAnsi="Times New Roman" w:cs="Times New Roman"/>
                <w:color w:val="000000"/>
                <w:sz w:val="24"/>
                <w:szCs w:val="24"/>
              </w:rPr>
              <w:t>Under a narrow approach, the Act is outside of the scope of the extraterritoriality doctrine and does not violate the dormant Commerce Clause</w:t>
            </w:r>
          </w:hyperlink>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_ygflxdusdadr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26</w:t>
          </w:r>
          <w:r w:rsidR="00711B04" w:rsidRPr="00B22770">
            <w:rPr>
              <w:rFonts w:ascii="Times New Roman" w:hAnsi="Times New Roman" w:cs="Times New Roman"/>
              <w:sz w:val="24"/>
              <w:szCs w:val="24"/>
            </w:rPr>
            <w:fldChar w:fldCharType="end"/>
          </w:r>
        </w:p>
        <w:p w14:paraId="0000003D" w14:textId="77777777" w:rsidR="00F1592A" w:rsidRPr="00B22770" w:rsidRDefault="003577B4">
          <w:pPr>
            <w:numPr>
              <w:ilvl w:val="0"/>
              <w:numId w:val="18"/>
            </w:numPr>
            <w:tabs>
              <w:tab w:val="right" w:pos="9360"/>
            </w:tabs>
            <w:spacing w:after="200" w:line="240" w:lineRule="auto"/>
            <w:rPr>
              <w:rFonts w:ascii="Times New Roman" w:eastAsia="Times New Roman" w:hAnsi="Times New Roman" w:cs="Times New Roman"/>
              <w:color w:val="000000"/>
              <w:sz w:val="24"/>
              <w:szCs w:val="24"/>
            </w:rPr>
          </w:pPr>
          <w:hyperlink w:anchor="_e0v3ycxsqu5e">
            <w:r w:rsidR="00711B04" w:rsidRPr="00B22770">
              <w:rPr>
                <w:rFonts w:ascii="Times New Roman" w:eastAsia="Times New Roman" w:hAnsi="Times New Roman" w:cs="Times New Roman"/>
                <w:color w:val="000000"/>
                <w:sz w:val="24"/>
                <w:szCs w:val="24"/>
              </w:rPr>
              <w:t>Because the Act regulates both in and out-of-state activities, the Act is outside the doctrine’s scope and it is not precluded by the doctrine’s ban on statutes regulating wholly out-of-state commerce</w:t>
            </w:r>
          </w:hyperlink>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_e0v3ycxsqu5e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29</w:t>
          </w:r>
          <w:r w:rsidR="00711B04" w:rsidRPr="00B22770">
            <w:rPr>
              <w:rFonts w:ascii="Times New Roman" w:hAnsi="Times New Roman" w:cs="Times New Roman"/>
              <w:sz w:val="24"/>
              <w:szCs w:val="24"/>
            </w:rPr>
            <w:fldChar w:fldCharType="end"/>
          </w:r>
        </w:p>
        <w:p w14:paraId="0000003E" w14:textId="77777777" w:rsidR="00F1592A" w:rsidRPr="00B22770" w:rsidRDefault="003577B4">
          <w:pPr>
            <w:numPr>
              <w:ilvl w:val="0"/>
              <w:numId w:val="18"/>
            </w:numPr>
            <w:tabs>
              <w:tab w:val="right" w:pos="9360"/>
            </w:tabs>
            <w:spacing w:before="60" w:after="200" w:line="240" w:lineRule="auto"/>
            <w:rPr>
              <w:rFonts w:ascii="Times New Roman" w:eastAsia="Times New Roman" w:hAnsi="Times New Roman" w:cs="Times New Roman"/>
              <w:color w:val="000000"/>
              <w:sz w:val="24"/>
              <w:szCs w:val="24"/>
            </w:rPr>
          </w:pPr>
          <w:hyperlink w:anchor="_g3ceex2j6it5">
            <w:r w:rsidR="00711B04" w:rsidRPr="00B22770">
              <w:rPr>
                <w:rFonts w:ascii="Times New Roman" w:eastAsia="Times New Roman" w:hAnsi="Times New Roman" w:cs="Times New Roman"/>
                <w:color w:val="000000"/>
                <w:sz w:val="24"/>
                <w:szCs w:val="24"/>
              </w:rPr>
              <w:t>The Act should not be evaluated under the extraterritoriality doctrine because any remaining concerns of inconsistent state regulations can be evaluated under the Pike balancing test</w:t>
            </w:r>
          </w:hyperlink>
          <w:r w:rsidR="00711B04" w:rsidRPr="00B22770">
            <w:rPr>
              <w:rFonts w:ascii="Times New Roman" w:eastAsia="Times New Roman" w:hAnsi="Times New Roman" w:cs="Times New Roman"/>
              <w:sz w:val="24"/>
              <w:szCs w:val="24"/>
            </w:rPr>
            <w:t>……………………………………………………………….</w:t>
          </w:r>
          <w:r w:rsidR="00711B04" w:rsidRPr="00B22770">
            <w:rPr>
              <w:rFonts w:ascii="Times New Roman" w:eastAsia="Times New Roman" w:hAnsi="Times New Roman" w:cs="Times New Roman"/>
              <w:color w:val="000000"/>
              <w:sz w:val="24"/>
              <w:szCs w:val="24"/>
            </w:rPr>
            <w:tab/>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_g3ceex2j6it5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30</w:t>
          </w:r>
          <w:r w:rsidR="00711B04" w:rsidRPr="00B22770">
            <w:rPr>
              <w:rFonts w:ascii="Times New Roman" w:hAnsi="Times New Roman" w:cs="Times New Roman"/>
              <w:sz w:val="24"/>
              <w:szCs w:val="24"/>
            </w:rPr>
            <w:fldChar w:fldCharType="end"/>
          </w:r>
        </w:p>
        <w:p w14:paraId="0000003F" w14:textId="30A04F54"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t05ia3o0flk9">
            <w:r w:rsidR="00711B04" w:rsidRPr="00B22770">
              <w:rPr>
                <w:rFonts w:ascii="Times New Roman" w:eastAsia="Times New Roman" w:hAnsi="Times New Roman" w:cs="Times New Roman"/>
                <w:color w:val="000000"/>
                <w:sz w:val="24"/>
                <w:szCs w:val="24"/>
              </w:rPr>
              <w:t>CONCLUSION</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6B4516">
            <w:rPr>
              <w:rFonts w:ascii="Times New Roman" w:hAnsi="Times New Roman" w:cs="Times New Roman"/>
              <w:sz w:val="24"/>
              <w:szCs w:val="24"/>
            </w:rPr>
            <w:t>31</w:t>
          </w:r>
        </w:p>
        <w:p w14:paraId="00000040" w14:textId="77777777" w:rsidR="00F1592A" w:rsidRPr="00B22770" w:rsidRDefault="003577B4">
          <w:pPr>
            <w:tabs>
              <w:tab w:val="right" w:pos="9360"/>
            </w:tabs>
            <w:spacing w:before="200" w:line="240" w:lineRule="auto"/>
            <w:rPr>
              <w:rFonts w:ascii="Times New Roman" w:eastAsia="Times New Roman" w:hAnsi="Times New Roman" w:cs="Times New Roman"/>
              <w:color w:val="000000"/>
              <w:sz w:val="24"/>
              <w:szCs w:val="24"/>
            </w:rPr>
          </w:pPr>
          <w:hyperlink w:anchor="_5t6lupafey9m">
            <w:r w:rsidR="00711B04" w:rsidRPr="00B22770">
              <w:rPr>
                <w:rFonts w:ascii="Times New Roman" w:eastAsia="Times New Roman" w:hAnsi="Times New Roman" w:cs="Times New Roman"/>
                <w:color w:val="000000"/>
                <w:sz w:val="24"/>
                <w:szCs w:val="24"/>
              </w:rPr>
              <w:t>APPENDIX A</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_5t6lupafey9m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33</w:t>
          </w:r>
          <w:r w:rsidR="00711B04" w:rsidRPr="00B22770">
            <w:rPr>
              <w:rFonts w:ascii="Times New Roman" w:hAnsi="Times New Roman" w:cs="Times New Roman"/>
              <w:sz w:val="24"/>
              <w:szCs w:val="24"/>
            </w:rPr>
            <w:fldChar w:fldCharType="end"/>
          </w:r>
        </w:p>
        <w:p w14:paraId="00000041" w14:textId="77777777" w:rsidR="00F1592A" w:rsidRPr="00B22770" w:rsidRDefault="003577B4">
          <w:pPr>
            <w:tabs>
              <w:tab w:val="right" w:pos="9360"/>
            </w:tabs>
            <w:spacing w:before="200" w:after="80" w:line="240" w:lineRule="auto"/>
            <w:rPr>
              <w:rFonts w:ascii="Times New Roman" w:eastAsia="Times New Roman" w:hAnsi="Times New Roman" w:cs="Times New Roman"/>
              <w:color w:val="000000"/>
              <w:sz w:val="24"/>
              <w:szCs w:val="24"/>
            </w:rPr>
          </w:pPr>
          <w:hyperlink w:anchor="_8b34rbxvkc90">
            <w:r w:rsidR="00711B04" w:rsidRPr="00B22770">
              <w:rPr>
                <w:rFonts w:ascii="Times New Roman" w:eastAsia="Times New Roman" w:hAnsi="Times New Roman" w:cs="Times New Roman"/>
                <w:color w:val="000000"/>
                <w:sz w:val="24"/>
                <w:szCs w:val="24"/>
              </w:rPr>
              <w:t>APPENDIX B</w:t>
            </w:r>
          </w:hyperlink>
          <w:r w:rsidR="00711B04" w:rsidRPr="00B22770">
            <w:rPr>
              <w:rFonts w:ascii="Times New Roman" w:eastAsia="Times New Roman" w:hAnsi="Times New Roman" w:cs="Times New Roman"/>
              <w:color w:val="000000"/>
              <w:sz w:val="24"/>
              <w:szCs w:val="24"/>
            </w:rPr>
            <w:tab/>
          </w:r>
          <w:r w:rsidR="00711B04" w:rsidRPr="00B22770">
            <w:rPr>
              <w:rFonts w:ascii="Times New Roman" w:eastAsia="Times New Roman" w:hAnsi="Times New Roman" w:cs="Times New Roman"/>
              <w:sz w:val="24"/>
              <w:szCs w:val="24"/>
            </w:rPr>
            <w:t xml:space="preserve">………………………………………………………………………………….. </w:t>
          </w:r>
          <w:r w:rsidR="00711B04" w:rsidRPr="00B22770">
            <w:rPr>
              <w:rFonts w:ascii="Times New Roman" w:hAnsi="Times New Roman" w:cs="Times New Roman"/>
              <w:sz w:val="24"/>
              <w:szCs w:val="24"/>
            </w:rPr>
            <w:fldChar w:fldCharType="begin"/>
          </w:r>
          <w:r w:rsidR="00711B04" w:rsidRPr="00B22770">
            <w:rPr>
              <w:rFonts w:ascii="Times New Roman" w:hAnsi="Times New Roman" w:cs="Times New Roman"/>
              <w:sz w:val="24"/>
              <w:szCs w:val="24"/>
            </w:rPr>
            <w:instrText xml:space="preserve"> PAGEREF _8b34rbxvkc90 \h </w:instrText>
          </w:r>
          <w:r w:rsidR="00711B04" w:rsidRPr="00B22770">
            <w:rPr>
              <w:rFonts w:ascii="Times New Roman" w:hAnsi="Times New Roman" w:cs="Times New Roman"/>
              <w:sz w:val="24"/>
              <w:szCs w:val="24"/>
            </w:rPr>
          </w:r>
          <w:r w:rsidR="00711B04" w:rsidRPr="00B22770">
            <w:rPr>
              <w:rFonts w:ascii="Times New Roman" w:hAnsi="Times New Roman" w:cs="Times New Roman"/>
              <w:sz w:val="24"/>
              <w:szCs w:val="24"/>
            </w:rPr>
            <w:fldChar w:fldCharType="separate"/>
          </w:r>
          <w:r w:rsidR="00711B04" w:rsidRPr="00B22770">
            <w:rPr>
              <w:rFonts w:ascii="Times New Roman" w:eastAsia="Times New Roman" w:hAnsi="Times New Roman" w:cs="Times New Roman"/>
              <w:color w:val="000000"/>
              <w:sz w:val="24"/>
              <w:szCs w:val="24"/>
            </w:rPr>
            <w:t>34</w:t>
          </w:r>
          <w:r w:rsidR="00711B04" w:rsidRPr="00B22770">
            <w:rPr>
              <w:rFonts w:ascii="Times New Roman" w:hAnsi="Times New Roman" w:cs="Times New Roman"/>
              <w:sz w:val="24"/>
              <w:szCs w:val="24"/>
            </w:rPr>
            <w:fldChar w:fldCharType="end"/>
          </w:r>
          <w:r w:rsidR="00711B04" w:rsidRPr="00B22770">
            <w:rPr>
              <w:rFonts w:ascii="Times New Roman" w:hAnsi="Times New Roman" w:cs="Times New Roman"/>
              <w:sz w:val="24"/>
              <w:szCs w:val="24"/>
            </w:rPr>
            <w:fldChar w:fldCharType="end"/>
          </w:r>
        </w:p>
      </w:sdtContent>
    </w:sdt>
    <w:p w14:paraId="00000042" w14:textId="77777777" w:rsidR="00F1592A" w:rsidRPr="00B22770" w:rsidRDefault="00F1592A">
      <w:pPr>
        <w:spacing w:line="479" w:lineRule="auto"/>
        <w:rPr>
          <w:rFonts w:ascii="Times New Roman" w:eastAsia="Times New Roman" w:hAnsi="Times New Roman" w:cs="Times New Roman"/>
          <w:sz w:val="24"/>
          <w:szCs w:val="24"/>
        </w:rPr>
        <w:sectPr w:rsidR="00F1592A" w:rsidRPr="00B22770">
          <w:footerReference w:type="default" r:id="rId11"/>
          <w:footerReference w:type="first" r:id="rId12"/>
          <w:pgSz w:w="12240" w:h="15840"/>
          <w:pgMar w:top="1440" w:right="1440" w:bottom="1440" w:left="1440" w:header="720" w:footer="720" w:gutter="0"/>
          <w:cols w:space="720"/>
          <w:titlePg/>
        </w:sectPr>
      </w:pPr>
    </w:p>
    <w:p w14:paraId="00000043" w14:textId="77777777" w:rsidR="00F1592A" w:rsidRPr="00B22770" w:rsidRDefault="00F1592A">
      <w:pPr>
        <w:spacing w:line="479" w:lineRule="auto"/>
        <w:rPr>
          <w:rFonts w:ascii="Times New Roman" w:eastAsia="Times New Roman" w:hAnsi="Times New Roman" w:cs="Times New Roman"/>
          <w:sz w:val="24"/>
          <w:szCs w:val="24"/>
        </w:rPr>
        <w:sectPr w:rsidR="00F1592A" w:rsidRPr="00B22770">
          <w:type w:val="continuous"/>
          <w:pgSz w:w="12240" w:h="15840"/>
          <w:pgMar w:top="1440" w:right="1440" w:bottom="1440" w:left="1440" w:header="720" w:footer="720" w:gutter="0"/>
          <w:cols w:space="720"/>
        </w:sectPr>
      </w:pPr>
    </w:p>
    <w:p w14:paraId="00000044"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5" w:name="_swhf4ew5uezj" w:colFirst="0" w:colLast="0"/>
      <w:bookmarkEnd w:id="5"/>
      <w:r w:rsidRPr="00B22770">
        <w:rPr>
          <w:rFonts w:ascii="Times New Roman" w:eastAsia="Times New Roman" w:hAnsi="Times New Roman" w:cs="Times New Roman"/>
          <w:b/>
          <w:sz w:val="24"/>
          <w:szCs w:val="24"/>
          <w:u w:val="single"/>
        </w:rPr>
        <w:t>TABLE OF AUTHORITIES</w:t>
      </w:r>
    </w:p>
    <w:p w14:paraId="00000045" w14:textId="77777777" w:rsidR="00F1592A" w:rsidRPr="006561EB" w:rsidRDefault="00711B04">
      <w:pPr>
        <w:spacing w:line="480" w:lineRule="auto"/>
        <w:jc w:val="center"/>
        <w:rPr>
          <w:rFonts w:ascii="Times New Roman" w:eastAsia="Times New Roman" w:hAnsi="Times New Roman" w:cs="Times New Roman"/>
          <w:b/>
          <w:bCs/>
          <w:sz w:val="24"/>
          <w:szCs w:val="24"/>
        </w:rPr>
      </w:pPr>
      <w:r w:rsidRPr="006561EB">
        <w:rPr>
          <w:rFonts w:ascii="Times New Roman" w:eastAsia="Times New Roman" w:hAnsi="Times New Roman" w:cs="Times New Roman"/>
          <w:b/>
          <w:bCs/>
          <w:sz w:val="24"/>
          <w:szCs w:val="24"/>
          <w:u w:val="single"/>
        </w:rPr>
        <w:t>United States Supreme Court Cases</w:t>
      </w:r>
    </w:p>
    <w:p w14:paraId="00000046" w14:textId="63D9F800"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Baldwin v. G.A.F. Seelig, Inc.</w:t>
      </w:r>
      <w:r w:rsidRPr="00B22770">
        <w:rPr>
          <w:rFonts w:ascii="Times New Roman" w:eastAsia="Times New Roman" w:hAnsi="Times New Roman" w:cs="Times New Roman"/>
          <w:sz w:val="24"/>
          <w:szCs w:val="24"/>
        </w:rPr>
        <w:t>, 294 U.S. 511 (1935)..............................................................23, 29</w:t>
      </w:r>
    </w:p>
    <w:p w14:paraId="00000047" w14:textId="4CBF2D9C"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Basic Inc. v. Levinson</w:t>
      </w:r>
      <w:r w:rsidRPr="00B22770">
        <w:rPr>
          <w:rFonts w:ascii="Times New Roman" w:eastAsia="Times New Roman" w:hAnsi="Times New Roman" w:cs="Times New Roman"/>
          <w:sz w:val="24"/>
          <w:szCs w:val="24"/>
        </w:rPr>
        <w:t>, 485 U.S. 224 (1988).....................................................................12, 13, 16</w:t>
      </w:r>
    </w:p>
    <w:p w14:paraId="00000048" w14:textId="0444FB9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Blue Chip Stamps v. Manor Drug Stores</w:t>
      </w:r>
      <w:r w:rsidRPr="00B22770">
        <w:rPr>
          <w:rFonts w:ascii="Times New Roman" w:eastAsia="Times New Roman" w:hAnsi="Times New Roman" w:cs="Times New Roman"/>
          <w:sz w:val="24"/>
          <w:szCs w:val="24"/>
        </w:rPr>
        <w:t>, 421 U.S. 723 (1975)....................................</w:t>
      </w:r>
      <w:r w:rsidR="00B22770">
        <w:rPr>
          <w:rFonts w:ascii="Times New Roman" w:eastAsia="Times New Roman" w:hAnsi="Times New Roman" w:cs="Times New Roman"/>
          <w:sz w:val="24"/>
          <w:szCs w:val="24"/>
        </w:rPr>
        <w:t>.</w:t>
      </w:r>
      <w:r w:rsidRPr="00B22770">
        <w:rPr>
          <w:rFonts w:ascii="Times New Roman" w:eastAsia="Times New Roman" w:hAnsi="Times New Roman" w:cs="Times New Roman"/>
          <w:sz w:val="24"/>
          <w:szCs w:val="24"/>
        </w:rPr>
        <w:t>.........10, 11</w:t>
      </w:r>
    </w:p>
    <w:p w14:paraId="00000049" w14:textId="65747684"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Bonaparte v. Tax Ct.</w:t>
      </w:r>
      <w:r w:rsidRPr="00B22770">
        <w:rPr>
          <w:rFonts w:ascii="Times New Roman" w:eastAsia="Times New Roman" w:hAnsi="Times New Roman" w:cs="Times New Roman"/>
          <w:sz w:val="24"/>
          <w:szCs w:val="24"/>
        </w:rPr>
        <w:t>, 104 U.S. 592 (1881)...................................................................................22</w:t>
      </w:r>
    </w:p>
    <w:p w14:paraId="0000004A"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Brown-Forman Distillers Corp. v. N.Y. State Liquor Auth.</w:t>
      </w:r>
      <w:r w:rsidRPr="00B22770">
        <w:rPr>
          <w:rFonts w:ascii="Times New Roman" w:eastAsia="Times New Roman" w:hAnsi="Times New Roman" w:cs="Times New Roman"/>
          <w:sz w:val="24"/>
          <w:szCs w:val="24"/>
        </w:rPr>
        <w:t>, 476 U.S. 573 (1986).................23, 24</w:t>
      </w:r>
    </w:p>
    <w:p w14:paraId="0000004B" w14:textId="3FF39BAA"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Camps Newfound/Owatonna, Inc. v. Town of Harrison,</w:t>
      </w:r>
      <w:r w:rsidRPr="00B22770">
        <w:rPr>
          <w:rFonts w:ascii="Times New Roman" w:eastAsia="Times New Roman" w:hAnsi="Times New Roman" w:cs="Times New Roman"/>
          <w:sz w:val="24"/>
          <w:szCs w:val="24"/>
        </w:rPr>
        <w:t xml:space="preserve"> 520 U.S. 564 (1997)............................23</w:t>
      </w:r>
    </w:p>
    <w:p w14:paraId="0000004C" w14:textId="7FA7B04E"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Cent. Bank of Denver, N.A. v. First Interstate Bank, N.A.</w:t>
      </w:r>
      <w:r w:rsidRPr="00B22770">
        <w:rPr>
          <w:rFonts w:ascii="Times New Roman" w:eastAsia="Times New Roman" w:hAnsi="Times New Roman" w:cs="Times New Roman"/>
          <w:sz w:val="24"/>
          <w:szCs w:val="24"/>
        </w:rPr>
        <w:t>, 511 U.S. 164 (1994)..................11, 12</w:t>
      </w:r>
    </w:p>
    <w:p w14:paraId="0000004D" w14:textId="5F23A196"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Comptroller of the Treasury v. Wynne</w:t>
      </w:r>
      <w:r w:rsidRPr="00B22770">
        <w:rPr>
          <w:rFonts w:ascii="Times New Roman" w:eastAsia="Times New Roman" w:hAnsi="Times New Roman" w:cs="Times New Roman"/>
          <w:sz w:val="24"/>
          <w:szCs w:val="24"/>
        </w:rPr>
        <w:t>, 135 S. Ct. 1787 (2015)...................................................24</w:t>
      </w:r>
    </w:p>
    <w:p w14:paraId="0000004E" w14:textId="57262590"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CTS Corp. v. Dynamics Corp. of Am.</w:t>
      </w:r>
      <w:r w:rsidRPr="00B22770">
        <w:rPr>
          <w:rFonts w:ascii="Times New Roman" w:eastAsia="Times New Roman" w:hAnsi="Times New Roman" w:cs="Times New Roman"/>
          <w:sz w:val="24"/>
          <w:szCs w:val="24"/>
        </w:rPr>
        <w:t>, 481 U.S. 69 (1987)..............................................19, 26, 30</w:t>
      </w:r>
    </w:p>
    <w:p w14:paraId="0000004F" w14:textId="6D7BFB06"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Dep't of Revenue of Ky. v. Davis</w:t>
      </w:r>
      <w:r w:rsidRPr="00B22770">
        <w:rPr>
          <w:rFonts w:ascii="Times New Roman" w:eastAsia="Times New Roman" w:hAnsi="Times New Roman" w:cs="Times New Roman"/>
          <w:sz w:val="24"/>
          <w:szCs w:val="24"/>
        </w:rPr>
        <w:t>, 553 U.S. 328 (2008).........................................................28, 29</w:t>
      </w:r>
    </w:p>
    <w:p w14:paraId="00000050" w14:textId="4859FCBB"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Edgar v. MITE Corp.</w:t>
      </w:r>
      <w:r w:rsidRPr="00B22770">
        <w:rPr>
          <w:rFonts w:ascii="Times New Roman" w:eastAsia="Times New Roman" w:hAnsi="Times New Roman" w:cs="Times New Roman"/>
          <w:sz w:val="24"/>
          <w:szCs w:val="24"/>
        </w:rPr>
        <w:t>, 457 U.S. 624 (1982)......................................................................23, 26, 30</w:t>
      </w:r>
    </w:p>
    <w:p w14:paraId="00000051"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Exxon Corp. v. Governor of Md.</w:t>
      </w:r>
      <w:r w:rsidRPr="00B22770">
        <w:rPr>
          <w:rFonts w:ascii="Times New Roman" w:eastAsia="Times New Roman" w:hAnsi="Times New Roman" w:cs="Times New Roman"/>
          <w:sz w:val="24"/>
          <w:szCs w:val="24"/>
        </w:rPr>
        <w:t>, 437 U.S. 117 (1978)..............................................20, 27, 29, 30</w:t>
      </w:r>
    </w:p>
    <w:p w14:paraId="00000052"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Healy v. Beer Inst.</w:t>
      </w:r>
      <w:r w:rsidRPr="00B22770">
        <w:rPr>
          <w:rFonts w:ascii="Times New Roman" w:eastAsia="Times New Roman" w:hAnsi="Times New Roman" w:cs="Times New Roman"/>
          <w:sz w:val="24"/>
          <w:szCs w:val="24"/>
        </w:rPr>
        <w:t>, 491 U.S. 324 (1989)................................................................................passim</w:t>
      </w:r>
    </w:p>
    <w:p w14:paraId="00000053"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Hughes v. Alexandria Scrap Corp.</w:t>
      </w:r>
      <w:r w:rsidRPr="00B22770">
        <w:rPr>
          <w:rFonts w:ascii="Times New Roman" w:eastAsia="Times New Roman" w:hAnsi="Times New Roman" w:cs="Times New Roman"/>
          <w:sz w:val="24"/>
          <w:szCs w:val="24"/>
        </w:rPr>
        <w:t>, 426 U.S. 794 (1976)..............................................................27</w:t>
      </w:r>
    </w:p>
    <w:p w14:paraId="00000054" w14:textId="3F416CF9"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Janus v. Am. Fed. of State, Cnty., &amp; Mun. Emps., Council 31</w:t>
      </w:r>
      <w:r w:rsidRPr="00B22770">
        <w:rPr>
          <w:rFonts w:ascii="Times New Roman" w:eastAsia="Times New Roman" w:hAnsi="Times New Roman" w:cs="Times New Roman"/>
          <w:sz w:val="24"/>
          <w:szCs w:val="24"/>
        </w:rPr>
        <w:t>, 138 S. Ct. 2448 (2018)..............22</w:t>
      </w:r>
    </w:p>
    <w:p w14:paraId="00000055" w14:textId="4BFE5A88"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Lawrence v. Texas,</w:t>
      </w:r>
      <w:r w:rsidRPr="00B22770">
        <w:rPr>
          <w:rFonts w:ascii="Times New Roman" w:eastAsia="Times New Roman" w:hAnsi="Times New Roman" w:cs="Times New Roman"/>
          <w:sz w:val="24"/>
          <w:szCs w:val="24"/>
        </w:rPr>
        <w:t xml:space="preserve"> 539 U. S. 558 (2003).....................................................................................24</w:t>
      </w:r>
    </w:p>
    <w:p w14:paraId="00000056" w14:textId="77E3F795"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Matrixx Initiatives, Inc v. Siracusano</w:t>
      </w:r>
      <w:r w:rsidRPr="00B22770">
        <w:rPr>
          <w:rFonts w:ascii="Times New Roman" w:eastAsia="Times New Roman" w:hAnsi="Times New Roman" w:cs="Times New Roman"/>
          <w:sz w:val="24"/>
          <w:szCs w:val="24"/>
        </w:rPr>
        <w:t>, 563 U.S. 27 (2011)...........................................................13</w:t>
      </w:r>
    </w:p>
    <w:p w14:paraId="00000057" w14:textId="7F9E09B5"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Montejo v. Louisiana</w:t>
      </w:r>
      <w:r w:rsidRPr="00B22770">
        <w:rPr>
          <w:rFonts w:ascii="Times New Roman" w:eastAsia="Times New Roman" w:hAnsi="Times New Roman" w:cs="Times New Roman"/>
          <w:sz w:val="24"/>
          <w:szCs w:val="24"/>
        </w:rPr>
        <w:t>, 556 U.S. 778 (2009)..................................................................................22</w:t>
      </w:r>
    </w:p>
    <w:p w14:paraId="00000058" w14:textId="6CE76B3F"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Musick, Peeler &amp; Garrett v. Emps. Ins. of Wausau</w:t>
      </w:r>
      <w:r w:rsidRPr="00B22770">
        <w:rPr>
          <w:rFonts w:ascii="Times New Roman" w:eastAsia="Times New Roman" w:hAnsi="Times New Roman" w:cs="Times New Roman"/>
          <w:sz w:val="24"/>
          <w:szCs w:val="24"/>
        </w:rPr>
        <w:t>, 508 U.S. 286 (1993)....................................11</w:t>
      </w:r>
    </w:p>
    <w:p w14:paraId="00000059"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New Energy Co. v. Limbach</w:t>
      </w:r>
      <w:r w:rsidRPr="00B22770">
        <w:rPr>
          <w:rFonts w:ascii="Times New Roman" w:eastAsia="Times New Roman" w:hAnsi="Times New Roman" w:cs="Times New Roman"/>
          <w:sz w:val="24"/>
          <w:szCs w:val="24"/>
        </w:rPr>
        <w:t>, 486 U.S. 269 (1988).................................................................20, 28</w:t>
      </w:r>
    </w:p>
    <w:p w14:paraId="0000005A" w14:textId="050A51E4"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Payne v. Tennessee</w:t>
      </w:r>
      <w:r w:rsidRPr="00B22770">
        <w:rPr>
          <w:rFonts w:ascii="Times New Roman" w:eastAsia="Times New Roman" w:hAnsi="Times New Roman" w:cs="Times New Roman"/>
          <w:sz w:val="24"/>
          <w:szCs w:val="24"/>
        </w:rPr>
        <w:t>, 501 U.S. 808 (1991).....................................................................................21</w:t>
      </w:r>
    </w:p>
    <w:p w14:paraId="0000005B"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Pharm. Rsch. &amp; Mfrs. of Am. v. Walsh</w:t>
      </w:r>
      <w:r w:rsidRPr="00B22770">
        <w:rPr>
          <w:rFonts w:ascii="Times New Roman" w:eastAsia="Times New Roman" w:hAnsi="Times New Roman" w:cs="Times New Roman"/>
          <w:sz w:val="24"/>
          <w:szCs w:val="24"/>
        </w:rPr>
        <w:t>, 538 U.S. 644 (2003)................................................23, 27</w:t>
      </w:r>
    </w:p>
    <w:p w14:paraId="0000005C"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Pike v. Bruce Church, Inc.</w:t>
      </w:r>
      <w:r w:rsidRPr="00B22770">
        <w:rPr>
          <w:rFonts w:ascii="Times New Roman" w:eastAsia="Times New Roman" w:hAnsi="Times New Roman" w:cs="Times New Roman"/>
          <w:sz w:val="24"/>
          <w:szCs w:val="24"/>
        </w:rPr>
        <w:t>, 397 U.S. 137 (1970)........................................................21, 24, 26, 31</w:t>
      </w:r>
    </w:p>
    <w:p w14:paraId="0000005D"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Planned Parenthood v. Casey</w:t>
      </w:r>
      <w:r w:rsidRPr="00B22770">
        <w:rPr>
          <w:rFonts w:ascii="Times New Roman" w:eastAsia="Times New Roman" w:hAnsi="Times New Roman" w:cs="Times New Roman"/>
          <w:sz w:val="24"/>
          <w:szCs w:val="24"/>
        </w:rPr>
        <w:t>, 505 U.S. 833 (1992)................................................................21, 22</w:t>
      </w:r>
    </w:p>
    <w:p w14:paraId="0000005E" w14:textId="77F450FF"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Stoneridge Inv. Partners, LLC v. Scientific–Atlanta</w:t>
      </w:r>
      <w:r w:rsidRPr="00B22770">
        <w:rPr>
          <w:rFonts w:ascii="Times New Roman" w:eastAsia="Times New Roman" w:hAnsi="Times New Roman" w:cs="Times New Roman"/>
          <w:sz w:val="24"/>
          <w:szCs w:val="24"/>
        </w:rPr>
        <w:t>, 552 U.S. 148 (2008)..................................13</w:t>
      </w:r>
    </w:p>
    <w:p w14:paraId="0000005F"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Superintendent of Insurance v. Bankers Life &amp; Cas. Co.</w:t>
      </w:r>
      <w:r w:rsidRPr="00B22770">
        <w:rPr>
          <w:rFonts w:ascii="Times New Roman" w:eastAsia="Times New Roman" w:hAnsi="Times New Roman" w:cs="Times New Roman"/>
          <w:sz w:val="24"/>
          <w:szCs w:val="24"/>
        </w:rPr>
        <w:t>, 404 U.S. 6 (1971)...............................10</w:t>
      </w:r>
    </w:p>
    <w:p w14:paraId="00000060" w14:textId="72D4372D"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TSC Indus., Inc. v. Northway, Inc.</w:t>
      </w:r>
      <w:r w:rsidRPr="00B22770">
        <w:rPr>
          <w:rFonts w:ascii="Times New Roman" w:eastAsia="Times New Roman" w:hAnsi="Times New Roman" w:cs="Times New Roman"/>
          <w:sz w:val="24"/>
          <w:szCs w:val="24"/>
        </w:rPr>
        <w:t>, 426 U.S. 438 (1976).......................................................13, 15</w:t>
      </w:r>
    </w:p>
    <w:p w14:paraId="00000061"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sectPr w:rsidR="00F1592A" w:rsidRPr="00B22770">
          <w:footerReference w:type="default" r:id="rId13"/>
          <w:footerReference w:type="first" r:id="rId14"/>
          <w:pgSz w:w="12240" w:h="15840"/>
          <w:pgMar w:top="1440" w:right="1440" w:bottom="1440" w:left="1440" w:header="720" w:footer="720" w:gutter="0"/>
          <w:cols w:space="720"/>
          <w:titlePg/>
        </w:sectPr>
      </w:pPr>
      <w:r w:rsidRPr="00B22770">
        <w:rPr>
          <w:rFonts w:ascii="Times New Roman" w:eastAsia="Times New Roman" w:hAnsi="Times New Roman" w:cs="Times New Roman"/>
          <w:sz w:val="24"/>
          <w:szCs w:val="24"/>
          <w:u w:val="single"/>
        </w:rPr>
        <w:t>Tyler Pipe Industries v. Washington State Department of Revenue</w:t>
      </w:r>
      <w:r w:rsidRPr="00B22770">
        <w:rPr>
          <w:rFonts w:ascii="Times New Roman" w:eastAsia="Times New Roman" w:hAnsi="Times New Roman" w:cs="Times New Roman"/>
          <w:sz w:val="24"/>
          <w:szCs w:val="24"/>
        </w:rPr>
        <w:t xml:space="preserve">, 483 U.S. 232 (1987)...........24 </w:t>
      </w:r>
    </w:p>
    <w:p w14:paraId="00000062" w14:textId="77777777" w:rsidR="00F1592A" w:rsidRPr="00B22770" w:rsidRDefault="00F1592A">
      <w:pPr>
        <w:pBdr>
          <w:left w:val="none" w:sz="0" w:space="22" w:color="auto"/>
        </w:pBdr>
        <w:shd w:val="clear" w:color="auto" w:fill="FFFFFF"/>
        <w:spacing w:line="480" w:lineRule="auto"/>
        <w:rPr>
          <w:rFonts w:ascii="Times New Roman" w:eastAsia="Times New Roman" w:hAnsi="Times New Roman" w:cs="Times New Roman"/>
          <w:sz w:val="24"/>
          <w:szCs w:val="24"/>
        </w:rPr>
      </w:pPr>
    </w:p>
    <w:p w14:paraId="00000063" w14:textId="77777777" w:rsidR="00F1592A" w:rsidRPr="006561EB" w:rsidRDefault="00711B04">
      <w:pPr>
        <w:pBdr>
          <w:left w:val="none" w:sz="0" w:space="22" w:color="auto"/>
        </w:pBdr>
        <w:shd w:val="clear" w:color="auto" w:fill="FFFFFF"/>
        <w:spacing w:line="480" w:lineRule="auto"/>
        <w:jc w:val="center"/>
        <w:rPr>
          <w:rFonts w:ascii="Times New Roman" w:eastAsia="Times New Roman" w:hAnsi="Times New Roman" w:cs="Times New Roman"/>
          <w:b/>
          <w:bCs/>
          <w:sz w:val="24"/>
          <w:szCs w:val="24"/>
        </w:rPr>
      </w:pPr>
      <w:r w:rsidRPr="006561EB">
        <w:rPr>
          <w:rFonts w:ascii="Times New Roman" w:eastAsia="Times New Roman" w:hAnsi="Times New Roman" w:cs="Times New Roman"/>
          <w:b/>
          <w:bCs/>
          <w:sz w:val="24"/>
          <w:szCs w:val="24"/>
          <w:u w:val="single"/>
        </w:rPr>
        <w:t>Other Cases</w:t>
      </w:r>
    </w:p>
    <w:p w14:paraId="00000064" w14:textId="5255B2F5"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Ackerman v. Schwartz</w:t>
      </w:r>
      <w:r w:rsidRPr="00B22770">
        <w:rPr>
          <w:rFonts w:ascii="Times New Roman" w:eastAsia="Times New Roman" w:hAnsi="Times New Roman" w:cs="Times New Roman"/>
          <w:sz w:val="24"/>
          <w:szCs w:val="24"/>
        </w:rPr>
        <w:t>, 947 F.2d 841 (7th Cir. 1991)...................................................................16</w:t>
      </w:r>
    </w:p>
    <w:p w14:paraId="00000065" w14:textId="3CBF335A"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Ass’n for Accessible Meds v. Frosh</w:t>
      </w:r>
      <w:r w:rsidRPr="00B22770">
        <w:rPr>
          <w:rFonts w:ascii="Times New Roman" w:eastAsia="Times New Roman" w:hAnsi="Times New Roman" w:cs="Times New Roman"/>
          <w:sz w:val="24"/>
          <w:szCs w:val="24"/>
        </w:rPr>
        <w:t>, 887 F.3d 664 (4th Cir. 2018)..................................22, 25, 27</w:t>
      </w:r>
    </w:p>
    <w:p w14:paraId="00000066" w14:textId="0E21CF14"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Backman v. Polaroid Corp.</w:t>
      </w:r>
      <w:r w:rsidRPr="00B22770">
        <w:rPr>
          <w:rFonts w:ascii="Times New Roman" w:eastAsia="Times New Roman" w:hAnsi="Times New Roman" w:cs="Times New Roman"/>
          <w:sz w:val="24"/>
          <w:szCs w:val="24"/>
        </w:rPr>
        <w:t>, 910 F.2d 10 (1st Cir. 1990)..............................................................17</w:t>
      </w:r>
    </w:p>
    <w:p w14:paraId="00000067" w14:textId="4211DB6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Colon Health Ctrs. of Am., LLC v. Hazel</w:t>
      </w:r>
      <w:r w:rsidRPr="00B22770">
        <w:rPr>
          <w:rFonts w:ascii="Times New Roman" w:eastAsia="Times New Roman" w:hAnsi="Times New Roman" w:cs="Times New Roman"/>
          <w:sz w:val="24"/>
          <w:szCs w:val="24"/>
        </w:rPr>
        <w:t>, 733 F.3d 535 (4th Cir. 2013).....................................31</w:t>
      </w:r>
    </w:p>
    <w:p w14:paraId="00000068" w14:textId="421ACD8B"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Dean Foods Co v. Brancel</w:t>
      </w:r>
      <w:r w:rsidRPr="00B22770">
        <w:rPr>
          <w:rFonts w:ascii="Times New Roman" w:eastAsia="Times New Roman" w:hAnsi="Times New Roman" w:cs="Times New Roman"/>
          <w:sz w:val="24"/>
          <w:szCs w:val="24"/>
        </w:rPr>
        <w:t>, 187 F.3d 609 (7th Cir. 1999)...........................................20, 22, 25, 26</w:t>
      </w:r>
    </w:p>
    <w:p w14:paraId="00000069" w14:textId="246DEC08"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ECA, Local 134 IBEW Joint Pension Tr. of Chi. v. JP Morgan Chase Co.</w:t>
      </w:r>
      <w:r w:rsidRPr="00B22770">
        <w:rPr>
          <w:rFonts w:ascii="Times New Roman" w:eastAsia="Times New Roman" w:hAnsi="Times New Roman" w:cs="Times New Roman"/>
          <w:sz w:val="24"/>
          <w:szCs w:val="24"/>
        </w:rPr>
        <w:t>, 553 F.3d 187 (2d Cir.</w:t>
      </w:r>
      <w:r w:rsid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rPr>
        <w:t>2009)..............................................................................................................................................14</w:t>
      </w:r>
    </w:p>
    <w:p w14:paraId="0000006A" w14:textId="2804AE86"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Energy &amp; Env’t Inst. v. Epel</w:t>
      </w:r>
      <w:r w:rsidRPr="00B22770">
        <w:rPr>
          <w:rFonts w:ascii="Times New Roman" w:eastAsia="Times New Roman" w:hAnsi="Times New Roman" w:cs="Times New Roman"/>
          <w:sz w:val="24"/>
          <w:szCs w:val="24"/>
        </w:rPr>
        <w:t>, 793 F.3d 1169 (10th Cir. 2015)......................................................28</w:t>
      </w:r>
    </w:p>
    <w:p w14:paraId="0000006B" w14:textId="56A80652"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First Va. Bankshares v. Benson</w:t>
      </w:r>
      <w:r w:rsidRPr="00B22770">
        <w:rPr>
          <w:rFonts w:ascii="Times New Roman" w:eastAsia="Times New Roman" w:hAnsi="Times New Roman" w:cs="Times New Roman"/>
          <w:sz w:val="24"/>
          <w:szCs w:val="24"/>
        </w:rPr>
        <w:t>, 559 F.2d 1307 (5th Cir. 1977)...................................................16</w:t>
      </w:r>
    </w:p>
    <w:p w14:paraId="0000006C"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IMS Health Inc. v. Mills</w:t>
      </w:r>
      <w:r w:rsidRPr="00B22770">
        <w:rPr>
          <w:rFonts w:ascii="Times New Roman" w:eastAsia="Times New Roman" w:hAnsi="Times New Roman" w:cs="Times New Roman"/>
          <w:sz w:val="24"/>
          <w:szCs w:val="24"/>
        </w:rPr>
        <w:t>, 616 F.3d 7 (1st Cir. 2010).....................................................................28</w:t>
      </w:r>
    </w:p>
    <w:p w14:paraId="0000006D" w14:textId="0707681C"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In re Facebook, Inc., IPO Sec. and Derivative Litig.</w:t>
      </w:r>
      <w:r w:rsidRPr="00B22770">
        <w:rPr>
          <w:rFonts w:ascii="Times New Roman" w:eastAsia="Times New Roman" w:hAnsi="Times New Roman" w:cs="Times New Roman"/>
          <w:sz w:val="24"/>
          <w:szCs w:val="24"/>
        </w:rPr>
        <w:t>, 986 F.Supp.2d 428 (S.D.N.Y. 2013)...17, 18</w:t>
      </w:r>
    </w:p>
    <w:p w14:paraId="0000006E" w14:textId="087A987D"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In re Healthco International Sec. Litig.</w:t>
      </w:r>
      <w:r w:rsidRPr="00B22770">
        <w:rPr>
          <w:rFonts w:ascii="Times New Roman" w:eastAsia="Times New Roman" w:hAnsi="Times New Roman" w:cs="Times New Roman"/>
          <w:sz w:val="24"/>
          <w:szCs w:val="24"/>
        </w:rPr>
        <w:t>, 777 F. Supp. 109 (D. Mass. 1991)...........................17, 18</w:t>
      </w:r>
    </w:p>
    <w:p w14:paraId="0000006F" w14:textId="62389893"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In re Petrobras Sec. Litig.</w:t>
      </w:r>
      <w:r w:rsidRPr="00B22770">
        <w:rPr>
          <w:rFonts w:ascii="Times New Roman" w:eastAsia="Times New Roman" w:hAnsi="Times New Roman" w:cs="Times New Roman"/>
          <w:sz w:val="24"/>
          <w:szCs w:val="24"/>
        </w:rPr>
        <w:t>, 116 F. Supp. 3d 368 (S.D.N.Y. 2015)..........................................14, 15</w:t>
      </w:r>
    </w:p>
    <w:p w14:paraId="00000070" w14:textId="30421CD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In re Signet Jewelers Ltd. Sec. Litig.</w:t>
      </w:r>
      <w:r w:rsidRPr="00B22770">
        <w:rPr>
          <w:rFonts w:ascii="Times New Roman" w:eastAsia="Times New Roman" w:hAnsi="Times New Roman" w:cs="Times New Roman"/>
          <w:sz w:val="24"/>
          <w:szCs w:val="24"/>
        </w:rPr>
        <w:t>, 389 F. Supp. 3d 221 (S.D.N.Y. 2019)...............................14</w:t>
      </w:r>
    </w:p>
    <w:p w14:paraId="00000071" w14:textId="73592AFC"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Ind. Pub. Ret. Sys. v. SAIC, Inc.</w:t>
      </w:r>
      <w:r w:rsidRPr="00B22770">
        <w:rPr>
          <w:rFonts w:ascii="Times New Roman" w:eastAsia="Times New Roman" w:hAnsi="Times New Roman" w:cs="Times New Roman"/>
          <w:sz w:val="24"/>
          <w:szCs w:val="24"/>
        </w:rPr>
        <w:t>, 818 F.3d 85 (2d Cir. 2016)................................................14, 15</w:t>
      </w:r>
    </w:p>
    <w:p w14:paraId="00000072"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Ind. State Dist. Council of Laborers &amp; Hod Carriers Pension &amp; Welfare Fund v. Omnicare, Inc.</w:t>
      </w:r>
      <w:r w:rsidRPr="00B22770">
        <w:rPr>
          <w:rFonts w:ascii="Times New Roman" w:eastAsia="Times New Roman" w:hAnsi="Times New Roman" w:cs="Times New Roman"/>
          <w:sz w:val="24"/>
          <w:szCs w:val="24"/>
        </w:rPr>
        <w:t>,</w:t>
      </w:r>
    </w:p>
    <w:p w14:paraId="00000073" w14:textId="3ED2FF4E"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583 F.3d 935 (6th Cir. 2009)...................................................................................................14, 15</w:t>
      </w:r>
    </w:p>
    <w:p w14:paraId="00000074"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No. 84 Employer-Teamster Joint Council Pension Trust Fund v. Am. W. Holding</w:t>
      </w:r>
      <w:r w:rsidRPr="00B22770">
        <w:rPr>
          <w:rFonts w:ascii="Times New Roman" w:eastAsia="Times New Roman" w:hAnsi="Times New Roman" w:cs="Times New Roman"/>
          <w:sz w:val="24"/>
          <w:szCs w:val="24"/>
        </w:rPr>
        <w:t>, 320 F.3d 920 (9th Cir. 2003)..........................................................................................................................14, 15</w:t>
      </w:r>
    </w:p>
    <w:p w14:paraId="00000075" w14:textId="3F99339F"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SEC v. Tex. Gulf Sulphur Co.</w:t>
      </w:r>
      <w:r w:rsidRPr="00B22770">
        <w:rPr>
          <w:rFonts w:ascii="Times New Roman" w:eastAsia="Times New Roman" w:hAnsi="Times New Roman" w:cs="Times New Roman"/>
          <w:sz w:val="24"/>
          <w:szCs w:val="24"/>
        </w:rPr>
        <w:t>, 401 F.2d 833 (2d Cir. 1968)..................................................16, 17</w:t>
      </w:r>
    </w:p>
    <w:p w14:paraId="00000076" w14:textId="735E1DE5"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State v. Heckel</w:t>
      </w:r>
      <w:r w:rsidRPr="00B22770">
        <w:rPr>
          <w:rFonts w:ascii="Times New Roman" w:eastAsia="Times New Roman" w:hAnsi="Times New Roman" w:cs="Times New Roman"/>
          <w:sz w:val="24"/>
          <w:szCs w:val="24"/>
        </w:rPr>
        <w:t>, 24 P.3d 404 (Wash. 2001)...................................................................................30</w:t>
      </w:r>
    </w:p>
    <w:p w14:paraId="00000077" w14:textId="7CADD0CD"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The New Orleans Emps. Ret. Sys. v. Celestica, Inc.</w:t>
      </w:r>
      <w:r w:rsidRPr="00B22770">
        <w:rPr>
          <w:rFonts w:ascii="Times New Roman" w:eastAsia="Times New Roman" w:hAnsi="Times New Roman" w:cs="Times New Roman"/>
          <w:sz w:val="24"/>
          <w:szCs w:val="24"/>
        </w:rPr>
        <w:t>, 455 Fed.Appx. 10 (2d Cir. 2011)..............14</w:t>
      </w:r>
    </w:p>
    <w:p w14:paraId="00000078" w14:textId="333036FE"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u w:val="single"/>
        </w:rPr>
        <w:t>U.S. v. Acosta</w:t>
      </w:r>
      <w:r w:rsidRPr="00B22770">
        <w:rPr>
          <w:rFonts w:ascii="Times New Roman" w:eastAsia="Times New Roman" w:hAnsi="Times New Roman" w:cs="Times New Roman"/>
          <w:sz w:val="24"/>
          <w:szCs w:val="24"/>
        </w:rPr>
        <w:t>, 363 F.3d 1141 (11th Cir. 2004)..............................................................................9</w:t>
      </w:r>
    </w:p>
    <w:p w14:paraId="00000079" w14:textId="1D919762"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sectPr w:rsidR="00F1592A" w:rsidRPr="00B22770">
          <w:footerReference w:type="default" r:id="rId15"/>
          <w:type w:val="continuous"/>
          <w:pgSz w:w="12240" w:h="15840"/>
          <w:pgMar w:top="1440" w:right="1440" w:bottom="1440" w:left="1440" w:header="720" w:footer="720" w:gutter="0"/>
          <w:cols w:space="720"/>
        </w:sectPr>
      </w:pPr>
      <w:r w:rsidRPr="00B22770">
        <w:rPr>
          <w:rFonts w:ascii="Times New Roman" w:eastAsia="Times New Roman" w:hAnsi="Times New Roman" w:cs="Times New Roman"/>
          <w:sz w:val="24"/>
          <w:szCs w:val="24"/>
          <w:u w:val="single"/>
        </w:rPr>
        <w:t>Wal-Mart Stores, Inc. v. Tex. Alcoholic Beverage Comm’n</w:t>
      </w:r>
      <w:r w:rsidRPr="00B22770">
        <w:rPr>
          <w:rFonts w:ascii="Times New Roman" w:eastAsia="Times New Roman" w:hAnsi="Times New Roman" w:cs="Times New Roman"/>
          <w:sz w:val="24"/>
          <w:szCs w:val="24"/>
        </w:rPr>
        <w:t>, 945 F.3d 206 (5th Cir. 2019)........19</w:t>
      </w:r>
    </w:p>
    <w:p w14:paraId="0000007A" w14:textId="77777777" w:rsidR="00F1592A" w:rsidRPr="00B22770" w:rsidRDefault="00F1592A">
      <w:pPr>
        <w:shd w:val="clear" w:color="auto" w:fill="FFFFFF"/>
        <w:spacing w:line="480" w:lineRule="auto"/>
        <w:rPr>
          <w:rFonts w:ascii="Times New Roman" w:eastAsia="Times New Roman" w:hAnsi="Times New Roman" w:cs="Times New Roman"/>
          <w:sz w:val="24"/>
          <w:szCs w:val="24"/>
        </w:rPr>
      </w:pPr>
    </w:p>
    <w:p w14:paraId="0000007B" w14:textId="77777777" w:rsidR="00F1592A" w:rsidRPr="006561EB" w:rsidRDefault="00711B04">
      <w:pPr>
        <w:pBdr>
          <w:left w:val="none" w:sz="0" w:space="22" w:color="auto"/>
        </w:pBdr>
        <w:shd w:val="clear" w:color="auto" w:fill="FFFFFF"/>
        <w:spacing w:line="480" w:lineRule="auto"/>
        <w:jc w:val="center"/>
        <w:rPr>
          <w:rFonts w:ascii="Times New Roman" w:eastAsia="Times New Roman" w:hAnsi="Times New Roman" w:cs="Times New Roman"/>
          <w:b/>
          <w:bCs/>
          <w:sz w:val="24"/>
          <w:szCs w:val="24"/>
        </w:rPr>
      </w:pPr>
      <w:r w:rsidRPr="006561EB">
        <w:rPr>
          <w:rFonts w:ascii="Times New Roman" w:eastAsia="Times New Roman" w:hAnsi="Times New Roman" w:cs="Times New Roman"/>
          <w:b/>
          <w:bCs/>
          <w:sz w:val="24"/>
          <w:szCs w:val="24"/>
          <w:u w:val="single"/>
        </w:rPr>
        <w:t>Constitutional Provisions</w:t>
      </w:r>
    </w:p>
    <w:p w14:paraId="0000007C"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U.S. Const. Art. 1, Sect. 8, Clause 3..........................................................................................3, 19</w:t>
      </w:r>
    </w:p>
    <w:p w14:paraId="0000007D" w14:textId="77777777" w:rsidR="00F1592A" w:rsidRPr="00B22770" w:rsidRDefault="00F1592A">
      <w:pPr>
        <w:shd w:val="clear" w:color="auto" w:fill="FFFFFF"/>
        <w:spacing w:line="480" w:lineRule="auto"/>
        <w:rPr>
          <w:rFonts w:ascii="Times New Roman" w:eastAsia="Times New Roman" w:hAnsi="Times New Roman" w:cs="Times New Roman"/>
          <w:sz w:val="24"/>
          <w:szCs w:val="24"/>
        </w:rPr>
      </w:pPr>
    </w:p>
    <w:p w14:paraId="0000007E" w14:textId="77777777" w:rsidR="00F1592A" w:rsidRPr="006561EB" w:rsidRDefault="00711B04">
      <w:pPr>
        <w:shd w:val="clear" w:color="auto" w:fill="FFFFFF"/>
        <w:spacing w:line="480" w:lineRule="auto"/>
        <w:jc w:val="center"/>
        <w:rPr>
          <w:rFonts w:ascii="Times New Roman" w:eastAsia="Times New Roman" w:hAnsi="Times New Roman" w:cs="Times New Roman"/>
          <w:b/>
          <w:bCs/>
          <w:sz w:val="24"/>
          <w:szCs w:val="24"/>
        </w:rPr>
      </w:pPr>
      <w:r w:rsidRPr="006561EB">
        <w:rPr>
          <w:rFonts w:ascii="Times New Roman" w:eastAsia="Times New Roman" w:hAnsi="Times New Roman" w:cs="Times New Roman"/>
          <w:b/>
          <w:bCs/>
          <w:sz w:val="24"/>
          <w:szCs w:val="24"/>
          <w:u w:val="single"/>
        </w:rPr>
        <w:t>Statutory Provisions</w:t>
      </w:r>
    </w:p>
    <w:p w14:paraId="0000007F" w14:textId="77777777"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15 U.S.C. § 77a, § 78a.....................................................................................................................9</w:t>
      </w:r>
    </w:p>
    <w:p w14:paraId="00000080" w14:textId="77777777"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15 U.S.C. § 78j(b)..........................................................................................................................10</w:t>
      </w:r>
    </w:p>
    <w:p w14:paraId="00000081" w14:textId="07C3EEC1"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15 U.S.C. § 78r..............................................................................................................................11</w:t>
      </w:r>
    </w:p>
    <w:p w14:paraId="00000082" w14:textId="515F729D"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15 U.S.C. § 78m(a), § 78o(d)...........................................................................</w:t>
      </w:r>
      <w:r w:rsidR="00B22770">
        <w:rPr>
          <w:rFonts w:ascii="Times New Roman" w:eastAsia="Times New Roman" w:hAnsi="Times New Roman" w:cs="Times New Roman"/>
          <w:sz w:val="24"/>
          <w:szCs w:val="24"/>
        </w:rPr>
        <w:t>.</w:t>
      </w:r>
      <w:r w:rsidRPr="00B22770">
        <w:rPr>
          <w:rFonts w:ascii="Times New Roman" w:eastAsia="Times New Roman" w:hAnsi="Times New Roman" w:cs="Times New Roman"/>
          <w:sz w:val="24"/>
          <w:szCs w:val="24"/>
        </w:rPr>
        <w:t>.............................10</w:t>
      </w:r>
    </w:p>
    <w:p w14:paraId="00000083" w14:textId="77777777"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28 U.S.C. § 1254..............................................................................................................................9</w:t>
      </w:r>
    </w:p>
    <w:p w14:paraId="00000084" w14:textId="77777777"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28 U.S.C. § 1291..............................................................................................................................2</w:t>
      </w:r>
    </w:p>
    <w:p w14:paraId="00000086" w14:textId="4417561C" w:rsidR="00F1592A" w:rsidRDefault="00711B04" w:rsidP="006B4516">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Albers Senate Bill No. 455................................................................................................1, 3, 5, 34</w:t>
      </w:r>
    </w:p>
    <w:p w14:paraId="4E4F3B1A" w14:textId="77777777" w:rsidR="006B4516" w:rsidRPr="006B4516" w:rsidRDefault="006B4516" w:rsidP="006B4516">
      <w:pPr>
        <w:pBdr>
          <w:left w:val="none" w:sz="0" w:space="22" w:color="auto"/>
        </w:pBdr>
        <w:shd w:val="clear" w:color="auto" w:fill="FFFFFF"/>
        <w:spacing w:line="480" w:lineRule="auto"/>
        <w:rPr>
          <w:rFonts w:ascii="Times New Roman" w:eastAsia="Times New Roman" w:hAnsi="Times New Roman" w:cs="Times New Roman"/>
          <w:sz w:val="24"/>
          <w:szCs w:val="24"/>
        </w:rPr>
      </w:pPr>
    </w:p>
    <w:p w14:paraId="00000087" w14:textId="77777777" w:rsidR="00F1592A" w:rsidRPr="006561EB" w:rsidRDefault="00711B04">
      <w:pPr>
        <w:shd w:val="clear" w:color="auto" w:fill="FFFFFF"/>
        <w:spacing w:line="480" w:lineRule="auto"/>
        <w:jc w:val="center"/>
        <w:rPr>
          <w:rFonts w:ascii="Times New Roman" w:eastAsia="Times New Roman" w:hAnsi="Times New Roman" w:cs="Times New Roman"/>
          <w:b/>
          <w:bCs/>
          <w:sz w:val="24"/>
          <w:szCs w:val="24"/>
        </w:rPr>
      </w:pPr>
      <w:r w:rsidRPr="006561EB">
        <w:rPr>
          <w:rFonts w:ascii="Times New Roman" w:eastAsia="Times New Roman" w:hAnsi="Times New Roman" w:cs="Times New Roman"/>
          <w:b/>
          <w:bCs/>
          <w:sz w:val="24"/>
          <w:szCs w:val="24"/>
          <w:u w:val="single"/>
        </w:rPr>
        <w:t>Federal Regulations</w:t>
      </w:r>
    </w:p>
    <w:p w14:paraId="00000088" w14:textId="0665FE90"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17 C.F.R. § 240.10b–5(b)..............................................................................................................16</w:t>
      </w:r>
    </w:p>
    <w:p w14:paraId="00000089"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17 C.F.R § 240.10b-5.................................................................................................................3, 10</w:t>
      </w:r>
    </w:p>
    <w:p w14:paraId="0000008A" w14:textId="43D41D61"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C.F.R. § 240.10b–5(b)...........................................................................................</w:t>
      </w:r>
      <w:r w:rsidR="00B22770">
        <w:rPr>
          <w:rFonts w:ascii="Times New Roman" w:eastAsia="Times New Roman" w:hAnsi="Times New Roman" w:cs="Times New Roman"/>
          <w:sz w:val="24"/>
          <w:szCs w:val="24"/>
        </w:rPr>
        <w:t>..</w:t>
      </w:r>
      <w:r w:rsidR="00B22770" w:rsidRPr="00B22770">
        <w:rPr>
          <w:rFonts w:ascii="Times New Roman" w:eastAsia="Times New Roman" w:hAnsi="Times New Roman" w:cs="Times New Roman"/>
          <w:sz w:val="24"/>
          <w:szCs w:val="24"/>
        </w:rPr>
        <w:t>....................</w:t>
      </w:r>
      <w:r w:rsidRPr="00B22770">
        <w:rPr>
          <w:rFonts w:ascii="Times New Roman" w:eastAsia="Times New Roman" w:hAnsi="Times New Roman" w:cs="Times New Roman"/>
          <w:sz w:val="24"/>
          <w:szCs w:val="24"/>
        </w:rPr>
        <w:t>..17</w:t>
      </w:r>
    </w:p>
    <w:p w14:paraId="0000008B"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p>
    <w:p w14:paraId="0000008C" w14:textId="77777777" w:rsidR="00F1592A" w:rsidRPr="006561EB" w:rsidRDefault="00711B04">
      <w:pPr>
        <w:shd w:val="clear" w:color="auto" w:fill="FFFFFF"/>
        <w:spacing w:line="480" w:lineRule="auto"/>
        <w:jc w:val="center"/>
        <w:rPr>
          <w:rFonts w:ascii="Times New Roman" w:eastAsia="Times New Roman" w:hAnsi="Times New Roman" w:cs="Times New Roman"/>
          <w:b/>
          <w:bCs/>
          <w:sz w:val="24"/>
          <w:szCs w:val="24"/>
        </w:rPr>
      </w:pPr>
      <w:r w:rsidRPr="006561EB">
        <w:rPr>
          <w:rFonts w:ascii="Times New Roman" w:eastAsia="Times New Roman" w:hAnsi="Times New Roman" w:cs="Times New Roman"/>
          <w:b/>
          <w:bCs/>
          <w:sz w:val="24"/>
          <w:szCs w:val="24"/>
          <w:u w:val="single"/>
        </w:rPr>
        <w:t>Congressional Reports</w:t>
      </w:r>
    </w:p>
    <w:p w14:paraId="0000008D"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H.R. Rep. No. 73-85........................................................................................................................9</w:t>
      </w:r>
    </w:p>
    <w:p w14:paraId="0000008E"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H.R. Rep. No. 73-1383..................................................................................................................16</w:t>
      </w:r>
    </w:p>
    <w:p w14:paraId="0000008F" w14:textId="77777777" w:rsidR="00F1592A" w:rsidRPr="00B22770" w:rsidRDefault="00711B04">
      <w:pPr>
        <w:pBdr>
          <w:left w:val="none" w:sz="0" w:space="22" w:color="auto"/>
        </w:pBdr>
        <w:shd w:val="clear" w:color="auto" w:fill="FFFFFF"/>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S. Rep. No. 73-47, at 6.....................................................................................................................9</w:t>
      </w:r>
    </w:p>
    <w:p w14:paraId="00000099" w14:textId="4AE45FD4" w:rsidR="00F1592A" w:rsidRPr="00B22770" w:rsidRDefault="00711B04" w:rsidP="00B22770">
      <w:pPr>
        <w:pBdr>
          <w:left w:val="none" w:sz="0" w:space="22" w:color="auto"/>
        </w:pBdr>
        <w:shd w:val="clear" w:color="auto" w:fill="FFFFFF"/>
        <w:spacing w:line="480" w:lineRule="auto"/>
        <w:rPr>
          <w:rFonts w:ascii="Times New Roman" w:eastAsia="Times New Roman" w:hAnsi="Times New Roman" w:cs="Times New Roman"/>
          <w:sz w:val="24"/>
          <w:szCs w:val="24"/>
        </w:rPr>
        <w:sectPr w:rsidR="00F1592A" w:rsidRPr="00B22770">
          <w:footerReference w:type="default" r:id="rId16"/>
          <w:type w:val="continuous"/>
          <w:pgSz w:w="12240" w:h="15840"/>
          <w:pgMar w:top="1440" w:right="1440" w:bottom="1440" w:left="1440" w:header="720" w:footer="720" w:gutter="0"/>
          <w:cols w:space="720"/>
        </w:sectPr>
      </w:pPr>
      <w:r w:rsidRPr="00B22770">
        <w:rPr>
          <w:rFonts w:ascii="Times New Roman" w:eastAsia="Times New Roman" w:hAnsi="Times New Roman" w:cs="Times New Roman"/>
          <w:sz w:val="24"/>
          <w:szCs w:val="24"/>
        </w:rPr>
        <w:t>S. Rep. No. 73-1455.......................................................................................................................10</w:t>
      </w:r>
    </w:p>
    <w:p w14:paraId="0000009A"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6" w:name="_hlkzgznwexbq" w:colFirst="0" w:colLast="0"/>
      <w:bookmarkEnd w:id="6"/>
      <w:r w:rsidRPr="00B22770">
        <w:rPr>
          <w:rFonts w:ascii="Times New Roman" w:eastAsia="Times New Roman" w:hAnsi="Times New Roman" w:cs="Times New Roman"/>
          <w:b/>
          <w:sz w:val="24"/>
          <w:szCs w:val="24"/>
          <w:u w:val="single"/>
        </w:rPr>
        <w:t>PROCEEDINGS BELOW</w:t>
      </w:r>
    </w:p>
    <w:p w14:paraId="0000009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On August 15, 2019, Astoria filed a class action suit (“Astoria’s claim”) against Appellees Genius Games, Inc. (“GG”) and its board of directors in the United States District Court for the District of Albers. [R. 4]. Astoria filed the class action suit on behalf of herself and shareholders who bought shares in GG “between March 4, 2016 and June 30, 2019 (the ‘Class Period’)” and held their shares during the relevant events. [R. 4]. The class action sought damages to redress injuries stemming from two claims. [R. 4]. First, Astoria’s claim alleged that Appellees violated § 10(b) of the Securities Act of 1934 (“SEA”) and Rule 10b-5 by neither speaking truthfully about nor correcting the GG Code of Conduct’s materially false zero-tolerance policy for sexual harassment. [R. 4]. Per Astoria’s claim, GG’s materially false Code of Conduct convinced appellant-investors to buy stock in GG at an artificially inflated price that drastically dipped once the </w:t>
      </w:r>
      <w:r w:rsidRPr="00B22770">
        <w:rPr>
          <w:rFonts w:ascii="Times New Roman" w:eastAsia="Times New Roman" w:hAnsi="Times New Roman" w:cs="Times New Roman"/>
          <w:sz w:val="24"/>
          <w:szCs w:val="24"/>
          <w:u w:val="single"/>
        </w:rPr>
        <w:t>Albers Times</w:t>
      </w:r>
      <w:r w:rsidRPr="00B22770">
        <w:rPr>
          <w:rFonts w:ascii="Times New Roman" w:eastAsia="Times New Roman" w:hAnsi="Times New Roman" w:cs="Times New Roman"/>
          <w:i/>
          <w:sz w:val="24"/>
          <w:szCs w:val="24"/>
        </w:rPr>
        <w:t xml:space="preserve"> </w:t>
      </w:r>
      <w:r w:rsidRPr="00B22770">
        <w:rPr>
          <w:rFonts w:ascii="Times New Roman" w:eastAsia="Times New Roman" w:hAnsi="Times New Roman" w:cs="Times New Roman"/>
          <w:sz w:val="24"/>
          <w:szCs w:val="24"/>
        </w:rPr>
        <w:t xml:space="preserve">published their exposé about GG’s disingenuous zero-tolerance policy. [R. 4]. Second, the class action asserts that GG’s steadfast unwillingness to include a female on their board violated Albers Senate Bill No. 455 (the “Act”). [R. 4]. Astoria’s claim sought statutory damages and an injunction to require GG’s compliance with the Act. [R. 5]. </w:t>
      </w:r>
    </w:p>
    <w:p w14:paraId="0000009C"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After class certification by the district court, discovery was conducted and established the uncontested facts below. [R. 5]. Post-discovery, “Appellees moved for summary judgment on both claims.” [R. 5]. As to the securities fraud claim, Appellees argued that (1) appellant-shareholders had no private right of action under Rule 10b-5, (2) GG’s zero-tolerance policy was immaterial, and (3) Appellees were not duty-bound to publicly speak about the sexual harassment allegations or correct GG’s zero-tolerance policy. [R. 5]. With respect to GG’s violation of the Act, Appellees argued that the Act violates the extraterritoriality doctrine and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i/>
          <w:sz w:val="24"/>
          <w:szCs w:val="24"/>
        </w:rPr>
        <w:t xml:space="preserve"> </w:t>
      </w:r>
      <w:r w:rsidRPr="00B22770">
        <w:rPr>
          <w:rFonts w:ascii="Times New Roman" w:eastAsia="Times New Roman" w:hAnsi="Times New Roman" w:cs="Times New Roman"/>
          <w:sz w:val="24"/>
          <w:szCs w:val="24"/>
        </w:rPr>
        <w:t>balancing test and is thus unconstitutional under the Constitution’s dormant Commerce Clause. [R. 5].</w:t>
      </w:r>
    </w:p>
    <w:p w14:paraId="0000009D"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The district court granted summary judgment on both claims for Appellees on February 6, 2020. [R. 5]. While the court ruled that Rule 10b-5 afforded the Appellees a private right of action, the court also determined that GG’s “zero-tolerance policy was immaterial and thus not actionable.” [R. 5]. Additionally, the court determined that the Act did not comply with the dormant Commerce Clause’s extraterritoriality doctrine. [R. 5].</w:t>
      </w:r>
    </w:p>
    <w:p w14:paraId="0000009E"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On February 10, 2020, Astoria filed a timely appeal with the United States Court of Appeals for the Fourteenth Circuit. [R. 5]. Using their jurisdiction under 28 U.S.C. § 1291, the court of appeals reviewed both of the district court’s rulings </w:t>
      </w:r>
      <w:r w:rsidRPr="00B22770">
        <w:rPr>
          <w:rFonts w:ascii="Times New Roman" w:eastAsia="Times New Roman" w:hAnsi="Times New Roman" w:cs="Times New Roman"/>
          <w:i/>
          <w:sz w:val="24"/>
          <w:szCs w:val="24"/>
        </w:rPr>
        <w:t>de novo</w:t>
      </w:r>
      <w:r w:rsidRPr="00B22770">
        <w:rPr>
          <w:rFonts w:ascii="Times New Roman" w:eastAsia="Times New Roman" w:hAnsi="Times New Roman" w:cs="Times New Roman"/>
          <w:sz w:val="24"/>
          <w:szCs w:val="24"/>
        </w:rPr>
        <w:t xml:space="preserve"> and affirmed the summary judgment grant on both claims in favor of Appellees. [R. 5, 17]. On January 22, 2021, the Supreme Court of the United States granted certiorari of Astoria’s petition to consider both the securities fraud and the constitutionality claims raised in the courts below. [R. 18].</w:t>
      </w:r>
    </w:p>
    <w:p w14:paraId="0000009F"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A0"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A1" w14:textId="77777777" w:rsidR="00F1592A" w:rsidRPr="00B22770" w:rsidRDefault="00711B04">
      <w:pPr>
        <w:spacing w:line="480" w:lineRule="auto"/>
        <w:ind w:firstLine="720"/>
        <w:rPr>
          <w:rFonts w:ascii="Times New Roman" w:hAnsi="Times New Roman" w:cs="Times New Roman"/>
          <w:sz w:val="24"/>
          <w:szCs w:val="24"/>
        </w:rPr>
      </w:pPr>
      <w:r w:rsidRPr="00B22770">
        <w:rPr>
          <w:rFonts w:ascii="Times New Roman" w:eastAsia="Times New Roman" w:hAnsi="Times New Roman" w:cs="Times New Roman"/>
          <w:sz w:val="24"/>
          <w:szCs w:val="24"/>
        </w:rPr>
        <w:t xml:space="preserve"> </w:t>
      </w:r>
      <w:r w:rsidRPr="00B22770">
        <w:rPr>
          <w:rFonts w:ascii="Times New Roman" w:hAnsi="Times New Roman" w:cs="Times New Roman"/>
          <w:sz w:val="24"/>
          <w:szCs w:val="24"/>
        </w:rPr>
        <w:br w:type="page"/>
      </w:r>
    </w:p>
    <w:p w14:paraId="000000A2"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7" w:name="_n8kb5glvgfyt" w:colFirst="0" w:colLast="0"/>
      <w:bookmarkEnd w:id="7"/>
      <w:r w:rsidRPr="00B22770">
        <w:rPr>
          <w:rFonts w:ascii="Times New Roman" w:eastAsia="Times New Roman" w:hAnsi="Times New Roman" w:cs="Times New Roman"/>
          <w:b/>
          <w:sz w:val="24"/>
          <w:szCs w:val="24"/>
          <w:u w:val="single"/>
        </w:rPr>
        <w:t>CONSTITUTIONAL PROVISIONS</w:t>
      </w:r>
    </w:p>
    <w:p w14:paraId="000000A3" w14:textId="77777777" w:rsidR="00F1592A" w:rsidRPr="00B22770" w:rsidRDefault="00711B04">
      <w:pPr>
        <w:spacing w:line="240" w:lineRule="auto"/>
        <w:rPr>
          <w:rFonts w:ascii="Times New Roman" w:eastAsia="Times New Roman" w:hAnsi="Times New Roman" w:cs="Times New Roman"/>
          <w:b/>
          <w:sz w:val="24"/>
          <w:szCs w:val="24"/>
          <w:u w:val="single"/>
        </w:rPr>
      </w:pPr>
      <w:r w:rsidRPr="00B22770">
        <w:rPr>
          <w:rFonts w:ascii="Times New Roman" w:eastAsia="Times New Roman" w:hAnsi="Times New Roman" w:cs="Times New Roman"/>
          <w:b/>
          <w:sz w:val="24"/>
          <w:szCs w:val="24"/>
          <w:u w:val="single"/>
        </w:rPr>
        <w:t>U.S. Const. art. I, § 8, cl. 3</w:t>
      </w:r>
    </w:p>
    <w:p w14:paraId="000000A4" w14:textId="77777777" w:rsidR="00F1592A" w:rsidRPr="00B22770" w:rsidRDefault="00711B04">
      <w:pPr>
        <w:spacing w:line="240" w:lineRule="auto"/>
        <w:rPr>
          <w:rFonts w:ascii="Times New Roman" w:eastAsia="Times New Roman" w:hAnsi="Times New Roman" w:cs="Times New Roman"/>
          <w:b/>
          <w:sz w:val="24"/>
          <w:szCs w:val="24"/>
          <w:u w:val="single"/>
        </w:rPr>
      </w:pPr>
      <w:r w:rsidRPr="00B22770">
        <w:rPr>
          <w:rFonts w:ascii="Times New Roman" w:eastAsia="Times New Roman" w:hAnsi="Times New Roman" w:cs="Times New Roman"/>
          <w:sz w:val="24"/>
          <w:szCs w:val="24"/>
        </w:rPr>
        <w:t xml:space="preserve">The Congress shall have power … [t]o regulate commerce with foreign nations, and among the several states, and with the Indian tribes … </w:t>
      </w:r>
    </w:p>
    <w:p w14:paraId="000000A5"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8" w:name="_9yhaa3aq5xs9" w:colFirst="0" w:colLast="0"/>
      <w:bookmarkEnd w:id="8"/>
      <w:r w:rsidRPr="00B22770">
        <w:rPr>
          <w:rFonts w:ascii="Times New Roman" w:eastAsia="Times New Roman" w:hAnsi="Times New Roman" w:cs="Times New Roman"/>
          <w:b/>
          <w:sz w:val="24"/>
          <w:szCs w:val="24"/>
          <w:u w:val="single"/>
        </w:rPr>
        <w:t>STATUTORY PROVISIONS</w:t>
      </w:r>
    </w:p>
    <w:p w14:paraId="000000A6" w14:textId="77777777" w:rsidR="00F1592A" w:rsidRPr="00B22770" w:rsidRDefault="00711B04">
      <w:pPr>
        <w:rPr>
          <w:rFonts w:ascii="Times New Roman" w:eastAsia="Times New Roman" w:hAnsi="Times New Roman" w:cs="Times New Roman"/>
          <w:b/>
          <w:sz w:val="24"/>
          <w:szCs w:val="24"/>
          <w:u w:val="single"/>
        </w:rPr>
      </w:pPr>
      <w:r w:rsidRPr="00B22770">
        <w:rPr>
          <w:rFonts w:ascii="Times New Roman" w:eastAsia="Times New Roman" w:hAnsi="Times New Roman" w:cs="Times New Roman"/>
          <w:b/>
          <w:sz w:val="24"/>
          <w:szCs w:val="24"/>
          <w:u w:val="single"/>
        </w:rPr>
        <w:t>§ 10(b) of the Securities Exchange Act of 1934</w:t>
      </w:r>
    </w:p>
    <w:p w14:paraId="000000A7" w14:textId="77777777" w:rsidR="00F1592A" w:rsidRPr="00B22770" w:rsidRDefault="00711B04">
      <w:pP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It shall be unlawful for any person, directly or indirectly, by the use of any means or instrumentality of interstate commerce or of the mails, or of any facility of any national securities exchange— …</w:t>
      </w:r>
    </w:p>
    <w:p w14:paraId="000000A8" w14:textId="77777777" w:rsidR="00F1592A" w:rsidRPr="00B22770" w:rsidRDefault="00711B04">
      <w:pP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(b) To use or employ, in connection with the purchase or sale of any security registered on a national securities exchange or any security not so registered, or any securities-based swap agreement any manipulative or deceptive device or contrivance in contravention of such rules and regulations as the Commission may prescribe as necessary or appropriate in the public interest or for the protection of investors.</w:t>
      </w:r>
    </w:p>
    <w:p w14:paraId="000000A9" w14:textId="77777777" w:rsidR="00F1592A" w:rsidRPr="00B22770" w:rsidRDefault="00F1592A">
      <w:pPr>
        <w:rPr>
          <w:rFonts w:ascii="Times New Roman" w:eastAsia="Times New Roman" w:hAnsi="Times New Roman" w:cs="Times New Roman"/>
          <w:b/>
          <w:sz w:val="24"/>
          <w:szCs w:val="24"/>
          <w:u w:val="single"/>
        </w:rPr>
      </w:pPr>
    </w:p>
    <w:p w14:paraId="000000AA" w14:textId="77777777" w:rsidR="00F1592A" w:rsidRPr="00B22770" w:rsidRDefault="00711B04">
      <w:pPr>
        <w:rPr>
          <w:rFonts w:ascii="Times New Roman" w:eastAsia="Times New Roman" w:hAnsi="Times New Roman" w:cs="Times New Roman"/>
          <w:b/>
          <w:sz w:val="24"/>
          <w:szCs w:val="24"/>
          <w:u w:val="single"/>
        </w:rPr>
      </w:pPr>
      <w:r w:rsidRPr="00B22770">
        <w:rPr>
          <w:rFonts w:ascii="Times New Roman" w:eastAsia="Times New Roman" w:hAnsi="Times New Roman" w:cs="Times New Roman"/>
          <w:b/>
          <w:sz w:val="24"/>
          <w:szCs w:val="24"/>
          <w:u w:val="single"/>
        </w:rPr>
        <w:t>Albers Senate Bill No. 455</w:t>
      </w:r>
    </w:p>
    <w:p w14:paraId="000000AB" w14:textId="77777777" w:rsidR="00F1592A" w:rsidRPr="00B22770" w:rsidRDefault="00711B04">
      <w:pPr>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See Appendix B</w:t>
      </w:r>
    </w:p>
    <w:p w14:paraId="000000AC" w14:textId="77777777" w:rsidR="00F1592A" w:rsidRPr="00B22770" w:rsidRDefault="00F1592A">
      <w:pPr>
        <w:rPr>
          <w:rFonts w:ascii="Times New Roman" w:eastAsia="Times New Roman" w:hAnsi="Times New Roman" w:cs="Times New Roman"/>
          <w:sz w:val="24"/>
          <w:szCs w:val="24"/>
        </w:rPr>
      </w:pPr>
    </w:p>
    <w:p w14:paraId="000000AD" w14:textId="77777777" w:rsidR="00F1592A" w:rsidRPr="00B22770" w:rsidRDefault="00711B04">
      <w:pPr>
        <w:pStyle w:val="Heading1"/>
        <w:keepLines w:val="0"/>
        <w:widowControl w:val="0"/>
        <w:spacing w:before="0" w:after="0" w:line="479" w:lineRule="auto"/>
        <w:jc w:val="center"/>
        <w:rPr>
          <w:rFonts w:ascii="Times New Roman" w:eastAsia="Times New Roman" w:hAnsi="Times New Roman" w:cs="Times New Roman"/>
          <w:b/>
          <w:sz w:val="24"/>
          <w:szCs w:val="24"/>
          <w:u w:val="single"/>
        </w:rPr>
      </w:pPr>
      <w:bookmarkStart w:id="9" w:name="_g8zjinj4g9m6" w:colFirst="0" w:colLast="0"/>
      <w:bookmarkEnd w:id="9"/>
      <w:r w:rsidRPr="00B22770">
        <w:rPr>
          <w:rFonts w:ascii="Times New Roman" w:eastAsia="Times New Roman" w:hAnsi="Times New Roman" w:cs="Times New Roman"/>
          <w:b/>
          <w:sz w:val="24"/>
          <w:szCs w:val="24"/>
          <w:u w:val="single"/>
        </w:rPr>
        <w:t>AGENCY PROVISIONS</w:t>
      </w:r>
    </w:p>
    <w:p w14:paraId="000000AE" w14:textId="77777777" w:rsidR="00F1592A" w:rsidRPr="00B22770" w:rsidRDefault="00711B04">
      <w:pPr>
        <w:rPr>
          <w:rFonts w:ascii="Times New Roman" w:eastAsia="Times New Roman" w:hAnsi="Times New Roman" w:cs="Times New Roman"/>
          <w:b/>
          <w:sz w:val="24"/>
          <w:szCs w:val="24"/>
          <w:u w:val="single"/>
        </w:rPr>
      </w:pPr>
      <w:r w:rsidRPr="00B22770">
        <w:rPr>
          <w:rFonts w:ascii="Times New Roman" w:eastAsia="Times New Roman" w:hAnsi="Times New Roman" w:cs="Times New Roman"/>
          <w:b/>
          <w:sz w:val="24"/>
          <w:szCs w:val="24"/>
          <w:u w:val="single"/>
        </w:rPr>
        <w:t>17 C.F.R. § 240.10b-5 - Employment of manipulative and deceptive devices</w:t>
      </w:r>
    </w:p>
    <w:p w14:paraId="000000AF" w14:textId="77777777" w:rsidR="00F1592A" w:rsidRPr="00B22770" w:rsidRDefault="00711B04">
      <w:p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It shall be unlawful for any person, directly or indirectly, by the use of any means or instrumentality of interstate commerce, or of the mails or of any facility of any national securities exchange,</w:t>
      </w:r>
    </w:p>
    <w:p w14:paraId="000000B0" w14:textId="77777777" w:rsidR="00F1592A" w:rsidRPr="00B22770" w:rsidRDefault="00711B04">
      <w:pPr>
        <w:numPr>
          <w:ilvl w:val="0"/>
          <w:numId w:val="13"/>
        </w:num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To employ any device, scheme, or artifice to defraud,</w:t>
      </w:r>
    </w:p>
    <w:p w14:paraId="000000B1" w14:textId="77777777" w:rsidR="00F1592A" w:rsidRPr="00B22770" w:rsidRDefault="00711B04">
      <w:pPr>
        <w:numPr>
          <w:ilvl w:val="0"/>
          <w:numId w:val="13"/>
        </w:num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To make any untrue statement of a material fact or to omit to state a material fact necessary in order to make the statements made, in the light of the circumstances under which they were made, not misleading, or</w:t>
      </w:r>
    </w:p>
    <w:p w14:paraId="000000B2" w14:textId="77777777" w:rsidR="00F1592A" w:rsidRPr="00B22770" w:rsidRDefault="00711B04">
      <w:pPr>
        <w:numPr>
          <w:ilvl w:val="0"/>
          <w:numId w:val="13"/>
        </w:num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To engage in any act, practice, or course of business which operates or would operate as a fraud or deceit upon any person,</w:t>
      </w:r>
    </w:p>
    <w:p w14:paraId="000000B4" w14:textId="70B6365B" w:rsidR="00F1592A" w:rsidRDefault="00711B04" w:rsidP="001652EF">
      <w:p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in connection with the purchase or sale of any security.</w:t>
      </w:r>
      <w:bookmarkStart w:id="10" w:name="_npavhgxa2hq8" w:colFirst="0" w:colLast="0"/>
      <w:bookmarkEnd w:id="10"/>
    </w:p>
    <w:p w14:paraId="19504443" w14:textId="375773EA" w:rsidR="001652EF" w:rsidRDefault="001652EF" w:rsidP="001652EF">
      <w:pPr>
        <w:spacing w:line="240" w:lineRule="auto"/>
        <w:rPr>
          <w:rFonts w:ascii="Times New Roman" w:eastAsia="Times New Roman" w:hAnsi="Times New Roman" w:cs="Times New Roman"/>
          <w:sz w:val="24"/>
          <w:szCs w:val="24"/>
        </w:rPr>
      </w:pPr>
    </w:p>
    <w:p w14:paraId="3106ACFA" w14:textId="6826CBE8" w:rsidR="001652EF" w:rsidRDefault="001652EF" w:rsidP="001652EF">
      <w:pPr>
        <w:spacing w:line="240" w:lineRule="auto"/>
        <w:rPr>
          <w:rFonts w:ascii="Times New Roman" w:eastAsia="Times New Roman" w:hAnsi="Times New Roman" w:cs="Times New Roman"/>
          <w:sz w:val="24"/>
          <w:szCs w:val="24"/>
        </w:rPr>
      </w:pPr>
    </w:p>
    <w:p w14:paraId="3369825C" w14:textId="77777777" w:rsidR="001652EF" w:rsidRPr="001652EF" w:rsidRDefault="001652EF" w:rsidP="001652EF">
      <w:pPr>
        <w:spacing w:line="240" w:lineRule="auto"/>
        <w:rPr>
          <w:rFonts w:ascii="Times New Roman" w:eastAsia="Times New Roman" w:hAnsi="Times New Roman" w:cs="Times New Roman"/>
          <w:sz w:val="24"/>
          <w:szCs w:val="24"/>
        </w:rPr>
      </w:pPr>
    </w:p>
    <w:p w14:paraId="000000B5"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11" w:name="_2lywrzhtwvw7" w:colFirst="0" w:colLast="0"/>
      <w:bookmarkEnd w:id="11"/>
      <w:r w:rsidRPr="00B22770">
        <w:rPr>
          <w:rFonts w:ascii="Times New Roman" w:eastAsia="Times New Roman" w:hAnsi="Times New Roman" w:cs="Times New Roman"/>
          <w:b/>
          <w:sz w:val="24"/>
          <w:szCs w:val="24"/>
          <w:u w:val="single"/>
        </w:rPr>
        <w:t>STATEMENT OF THE CASE</w:t>
      </w:r>
    </w:p>
    <w:p w14:paraId="000000B6"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Incorporated and headquartered in Delaware, Appellee GG is a video game company that was founded in 2005 and went public in 2008. [R. 2]. Appellees Chuck Winnow (“Winnow”), Bartholomew Winnow, Noah Archibald, and Don Humphrey (the “directors”) collectively founded GG and, “at all relevant times,” made up its board. [R. 2]. GG has 2,500 shareholders including Albers resident Blair Astoria (“Astoria”) who bought 7.5% of GG’s common stock in 2008. [R. 2]. Per Item 406 of Regulation S-K, Appellees makes annual, publicly-available, security disclosures to the Securities and Exchange Commission (“SEC”). Appellees’ annual disclosures include references to GG’s Code of Conduct, which includes a “zero-tolerance policy for sexual harassment” (“zero-tolerance policy”). [R. 2];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A-1. </w:t>
      </w:r>
    </w:p>
    <w:p w14:paraId="000000B7"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On March 4, 2016, a female GG employee filed an internal report asserting that GG’s Chief Executive Officer, Appellee Winnow, had sexually harassed her. [R. 2]. An internal investigation led by the directors determined that the allegations were true but, despite Appellees’ zero-tolerance policy, Appellees took no action to remedy the situation or even reprimand Winnow. [R. 2]. Appellees also declined to speak publicly about the allegations and their quarterly and annual securities disclosures continued to reference their unchanged zero-tolerance policy. [R. 2].</w:t>
      </w:r>
    </w:p>
    <w:p w14:paraId="000000B8"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In September 2018, five more female employees filed an internal report asserting that Winnow had sexually harassed them. [R. 3]. Appellees did not fire Winnow even though the women threatened to speak publicly about the allegations if Winnow was not fired. [R. 3]. No action was taken against Winnow’s despite Appellees’ zero-tolerance policy stating that employees would be immediately dismissed for sexual harassment and an internal investigation concluded that the sexual harassment allegations against Winnow were true. [R. 3]; Appendix A-1. Moreover, despite opportunities in multiple quarterly and annual securities disclosures, Appellees did not correct or remove their zero-tolerance policy from their Code of Conduct or speak publicly about the harassment claims, investigations, or conclusions. [R. 3]. No GG employees spoke publicly about the Code of Conduct or the sexual harassment claims made against Winnow, and Appellees have continued to include the unchanged Code of Conduct and zero-tolerance policy in annual disclosures. [R. 3].</w:t>
      </w:r>
    </w:p>
    <w:p w14:paraId="000000B9"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On November 30, 2018, Senate Bill No. 455 (the “Act”) was enacted by the State of Albers.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B-1. Section 301.3 of the Act promotes gender parity by amending Albers General Corporations Law to create a gender quota for corporate boards.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B-1. The Act requires that publicly traded foreign corporations with more than 10% of shares owned by Albers residents, such as GG, add at least one female board member by June 30, 2019.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B-2, 3. Corporations were allowed to expand the number of board seats to meet the quota, as long as they complied with the Act by June 30, 2019.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B-3. The Act allows shareholders to bring suit for damages of $100 per share for each violation of the Act. [R. 12];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B-3.</w:t>
      </w:r>
    </w:p>
    <w:p w14:paraId="000000BA"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On December 5, 2018, shortly after the Act was passed, Winnow was quoted in an </w:t>
      </w:r>
      <w:r w:rsidRPr="00B22770">
        <w:rPr>
          <w:rFonts w:ascii="Times New Roman" w:eastAsia="Times New Roman" w:hAnsi="Times New Roman" w:cs="Times New Roman"/>
          <w:sz w:val="24"/>
          <w:szCs w:val="24"/>
          <w:u w:val="single"/>
        </w:rPr>
        <w:t>Albers Times</w:t>
      </w:r>
      <w:r w:rsidRPr="00B22770">
        <w:rPr>
          <w:rFonts w:ascii="Times New Roman" w:eastAsia="Times New Roman" w:hAnsi="Times New Roman" w:cs="Times New Roman"/>
          <w:sz w:val="24"/>
          <w:szCs w:val="24"/>
        </w:rPr>
        <w:t xml:space="preserve"> article asserting that GG would not be complying with the Act’s quota because a woman would ruin his company’s dynamic and success. [R. 3]. In response, Astoria, who had purchased additional GG stock bringing her total to 10.2% of GG shares, sent a letter to GG demanding they comply with the Act. [R. 3-4]. The letter told GG to expand its board, nominate a female candidate for the new seat, and schedule a special shareholder meeting by the June 30 deadline. GG ignored the letter and its suggestions. [R. 4]. </w:t>
      </w:r>
    </w:p>
    <w:p w14:paraId="000000B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GG filed a timely annual disclosure on March 15, 2019, that included their Code of Conduct and zero-tolerance policy. [R.4]. On March 31, 2019, the </w:t>
      </w:r>
      <w:r w:rsidRPr="00B22770">
        <w:rPr>
          <w:rFonts w:ascii="Times New Roman" w:eastAsia="Times New Roman" w:hAnsi="Times New Roman" w:cs="Times New Roman"/>
          <w:sz w:val="24"/>
          <w:szCs w:val="24"/>
          <w:u w:val="single"/>
        </w:rPr>
        <w:t>Albers Times</w:t>
      </w:r>
      <w:r w:rsidRPr="00B22770">
        <w:rPr>
          <w:rFonts w:ascii="Times New Roman" w:eastAsia="Times New Roman" w:hAnsi="Times New Roman" w:cs="Times New Roman"/>
          <w:sz w:val="24"/>
          <w:szCs w:val="24"/>
        </w:rPr>
        <w:t xml:space="preserve"> published an exposé recounting the story of the five women who had accused Winnow of sexual harassment. [R.4]. The story went national leading to an 18% decrease in GG stock by the end of June. [R. 4]. Still, Winnow and the GG board made no steps to comply with the Act and the board still had no female members by the Act’s June 30 compliance deadline. [R.4].</w:t>
      </w:r>
    </w:p>
    <w:p w14:paraId="000000BC"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BD"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BE"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BF"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C0" w14:textId="77777777" w:rsidR="00F1592A" w:rsidRPr="00B22770" w:rsidRDefault="00F1592A">
      <w:pPr>
        <w:spacing w:line="480" w:lineRule="auto"/>
        <w:ind w:firstLine="720"/>
        <w:rPr>
          <w:rFonts w:ascii="Times New Roman" w:eastAsia="Times New Roman" w:hAnsi="Times New Roman" w:cs="Times New Roman"/>
          <w:sz w:val="24"/>
          <w:szCs w:val="24"/>
        </w:rPr>
      </w:pPr>
    </w:p>
    <w:p w14:paraId="000000C1"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hAnsi="Times New Roman" w:cs="Times New Roman"/>
          <w:sz w:val="24"/>
          <w:szCs w:val="24"/>
        </w:rPr>
        <w:br w:type="page"/>
      </w:r>
    </w:p>
    <w:p w14:paraId="000000C2"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12" w:name="_9wk6dqwll741" w:colFirst="0" w:colLast="0"/>
      <w:bookmarkEnd w:id="12"/>
      <w:r w:rsidRPr="00B22770">
        <w:rPr>
          <w:rFonts w:ascii="Times New Roman" w:eastAsia="Times New Roman" w:hAnsi="Times New Roman" w:cs="Times New Roman"/>
          <w:b/>
          <w:sz w:val="24"/>
          <w:szCs w:val="24"/>
          <w:u w:val="single"/>
        </w:rPr>
        <w:t>SUMMARY OF THE ARGUMENT</w:t>
      </w:r>
    </w:p>
    <w:p w14:paraId="000000C3"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This Court should reverse the Fourteenth Circuit’s finding that Appellees did not violate the Securities and Exchange Act of 1934 or Rule 10b-5 when Appellees failed to publicly share</w:t>
      </w:r>
    </w:p>
    <w:p w14:paraId="000000C4" w14:textId="77777777" w:rsidR="00F1592A" w:rsidRPr="00B22770" w:rsidRDefault="00711B04">
      <w:pPr>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any information about sexual harassment claims at GG. By neither mentioning the claims in their periodic securities disclosures nor correcting their zero-tolerance policy for sexual harassment, Appellees misrepresented material information and subsequently caused a sharp decline in GG’s public stock price. Astoria was unjustly harmed by the market upheaval and has a private right of action, supported by precedent and congressional intent, under Rule 10b-5 to pursue judicial remedies. Furthermore, Appellees’ zero-tolerance policy met Rule 10b-5’s materiality requirement. The policy was material and reasonable for investors to rely on and Appellees failed to comply with their general duty to speak truthfully and share news related to the policy. Moreover, Appellees had a duty to correct the policy once Appellees’ brusque handling of sexual harassment claims made their zero-tolerance policy inaccurate.  </w:t>
      </w:r>
    </w:p>
    <w:p w14:paraId="000000C5"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This Court should also reverse the Fourteenth Circuit’s finding that the Act is unconstitutional under the extraterritoriality doctrine of the dormant Commerce Clause. The Fourteenth Circuit concedes that the extraterritoriality doctrine lacks a clear standard of review, creating considerable confusion among the lower federal courts, but they were bound by stare decisis. The doctrine has become unclear, unworkable, and unnecessary; it is no longer the proper tool for analyzing the validity of a state corporation statutes. Therefore, this Court should consider overturning the extraterritoriality doctrine.</w:t>
      </w:r>
    </w:p>
    <w:p w14:paraId="000000C6"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Even if this Court does not overturn the doctrine, the Fourteenth Circuit erred by interpreting the Act broadly.  This Court should adopt a narrow approach and only consider whether the Act had the practical effect of regulating wholly out-of-state commerce. Under this approach, the Act is outside the scope of the extraterritoriality doctrine and not unconstitutional. Regardless of the approach used to evaluate the Act, the extraterritoriality doctrine regulates only wholly out-of-state commerce. Given its putative local benefits to the shareholders in the State of Albers, the Act does not regulate wholly out-of-state commerce and thus cannot be invalidated by the extraterritoriality doctrine. Additionally, state statutes that affect wholly out-of-state commerce are evaluated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not the extraterritoriality doctrine. As the Act applies impartially to both in-state and out-of-state business and both parties concede that the Act presents no constitutionality issues when evaluated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test, this Court should find the Act to be constitutional under the extraterritoriality doctrine of the dormant Commerce Clause. </w:t>
      </w:r>
    </w:p>
    <w:p w14:paraId="000000C7" w14:textId="77777777" w:rsidR="00F1592A" w:rsidRPr="00B22770" w:rsidRDefault="00711B04">
      <w:pPr>
        <w:spacing w:line="479" w:lineRule="auto"/>
        <w:rPr>
          <w:rFonts w:ascii="Times New Roman" w:hAnsi="Times New Roman" w:cs="Times New Roman"/>
          <w:sz w:val="24"/>
          <w:szCs w:val="24"/>
        </w:rPr>
      </w:pPr>
      <w:r w:rsidRPr="00B22770">
        <w:rPr>
          <w:rFonts w:ascii="Times New Roman" w:hAnsi="Times New Roman" w:cs="Times New Roman"/>
          <w:sz w:val="24"/>
          <w:szCs w:val="24"/>
        </w:rPr>
        <w:br w:type="page"/>
      </w:r>
    </w:p>
    <w:p w14:paraId="000000C8" w14:textId="77777777" w:rsidR="00F1592A" w:rsidRPr="00B22770" w:rsidRDefault="00711B04">
      <w:pPr>
        <w:pStyle w:val="Heading1"/>
        <w:spacing w:line="479" w:lineRule="auto"/>
        <w:jc w:val="center"/>
        <w:rPr>
          <w:rFonts w:ascii="Times New Roman" w:eastAsia="Times New Roman" w:hAnsi="Times New Roman" w:cs="Times New Roman"/>
          <w:b/>
          <w:sz w:val="24"/>
          <w:szCs w:val="24"/>
          <w:u w:val="single"/>
        </w:rPr>
      </w:pPr>
      <w:bookmarkStart w:id="13" w:name="_5v1h622vgwkn" w:colFirst="0" w:colLast="0"/>
      <w:bookmarkEnd w:id="13"/>
      <w:r w:rsidRPr="00B22770">
        <w:rPr>
          <w:rFonts w:ascii="Times New Roman" w:eastAsia="Times New Roman" w:hAnsi="Times New Roman" w:cs="Times New Roman"/>
          <w:b/>
          <w:sz w:val="24"/>
          <w:szCs w:val="24"/>
          <w:u w:val="single"/>
        </w:rPr>
        <w:t>ARGUMENT</w:t>
      </w:r>
    </w:p>
    <w:p w14:paraId="000000C9" w14:textId="77777777" w:rsidR="00F1592A" w:rsidRPr="00B22770" w:rsidRDefault="00711B04">
      <w:pPr>
        <w:pStyle w:val="Heading2"/>
        <w:numPr>
          <w:ilvl w:val="0"/>
          <w:numId w:val="8"/>
        </w:numPr>
        <w:spacing w:after="80" w:line="194" w:lineRule="auto"/>
        <w:jc w:val="both"/>
        <w:rPr>
          <w:rFonts w:ascii="Times New Roman" w:eastAsia="Times New Roman" w:hAnsi="Times New Roman" w:cs="Times New Roman"/>
          <w:sz w:val="24"/>
          <w:szCs w:val="24"/>
        </w:rPr>
      </w:pPr>
      <w:bookmarkStart w:id="14" w:name="_b5ucn4zielhb" w:colFirst="0" w:colLast="0"/>
      <w:bookmarkEnd w:id="14"/>
      <w:r w:rsidRPr="00B22770">
        <w:rPr>
          <w:rFonts w:ascii="Times New Roman" w:eastAsia="Times New Roman" w:hAnsi="Times New Roman" w:cs="Times New Roman"/>
          <w:sz w:val="24"/>
          <w:szCs w:val="24"/>
        </w:rPr>
        <w:t>THE FOURTEENTH CIRCUIT COURT OF APPEALS INCORRECTLY AFFIRMED THE GRANT OF SUMMARY JUDGMENT FOR APPELLEES BECAUSE APPELLEES VIOLATED REGULATORY RULE 10B-5 BY MATERIALLY MISREPRESENTING THEIR ZERO-TOLERANCE POLICY IN THEIR ANNUAL AND QUARTERLY SECURITIES DISCLOSURES.</w:t>
      </w:r>
    </w:p>
    <w:p w14:paraId="000000CA" w14:textId="77777777" w:rsidR="00F1592A" w:rsidRPr="00B22770" w:rsidRDefault="00F1592A">
      <w:pPr>
        <w:ind w:left="720"/>
        <w:rPr>
          <w:rFonts w:ascii="Times New Roman" w:hAnsi="Times New Roman" w:cs="Times New Roman"/>
          <w:sz w:val="24"/>
          <w:szCs w:val="24"/>
        </w:rPr>
      </w:pPr>
    </w:p>
    <w:p w14:paraId="000000C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This Court should reverse the Fourteenth Circuit Court of Appeal’s affirmation of summary judgment for Appellees on the securities fraud issue. The Fourteenth Circuit incorrectly held as a matter of law that Appellees’ zero-tolerance policy was mere puffery and that Appellees had no duty to honestly disclose or correct the policy.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[R. 11-12, 17]. This Court has jurisdiction to review the appellate court’s holdings under 28 U.S.C. § 1254 and, because solely questions of law are at issue on appeal, review the court’s findings </w:t>
      </w:r>
      <w:r w:rsidRPr="00B22770">
        <w:rPr>
          <w:rFonts w:ascii="Times New Roman" w:eastAsia="Times New Roman" w:hAnsi="Times New Roman" w:cs="Times New Roman"/>
          <w:i/>
          <w:sz w:val="24"/>
          <w:szCs w:val="24"/>
        </w:rPr>
        <w:t>de novo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U.S. v. Acosta</w:t>
      </w:r>
      <w:r w:rsidRPr="00B22770">
        <w:rPr>
          <w:rFonts w:ascii="Times New Roman" w:eastAsia="Times New Roman" w:hAnsi="Times New Roman" w:cs="Times New Roman"/>
          <w:sz w:val="24"/>
          <w:szCs w:val="24"/>
        </w:rPr>
        <w:t>, 363 F.3d 1141, 1144 (11th Cir. 2004).</w:t>
      </w:r>
    </w:p>
    <w:p w14:paraId="000000CC"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The Securities Act of 1933 (the “SA”) and the Securities Exchange Act of 1934 were passed during a time of “dire national distress” in order to protect the public from fraudulently marketed securities. S. Rep. No. 73-47, at 6 (1933) (“The necessity for the bill arises out of the fact that billions of dollars have been invested in practically worthless securities … by the American public through incomplete, careless, or false representations.”). In submitting the 1933 bill to Congress, President Roosevelt emphasized that the burden should be on companies to disclose honestly and completely to prospective securities-purchasers. H.R. Rep. No. 73-85, at 2 (1933) (“Let the seller also beware.”) (internal quotations omitted).</w:t>
      </w:r>
    </w:p>
    <w:p w14:paraId="000000CD"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Embodying the intent and efforts of Congress and President Roosevelt, the SA and SEA protect shareholders by requiring companies to “provide full and fair disclosure of the character of securities sold in interstate and foreign commerce.” 15 U.S.C. § 77a, § 78a. Specifically, section 10(b) of the SEA makes illegal the “use or employ, in connection with the purchase or sale of any security . . . [of] any manipulative or deceptive device or contrivance in contravention of [SEC] rules or regulations.” 15 U.S.C. § 78j(b). To ensure that potential investors have access to “honest, complete and correct” information about publicly traded companies, the SEA also requires security issuing companies to file periodic public reports with the SEC. 15 U.S.C. § 78m(a), § 78o(d); S. Rep. No. 73-1455, at 68 (1934). In parallel, regulatory Rule 10b-5 requires companies to never “make any untrue statement of a material fact” or misdirect investors by hiding information relevant to previous material statements. 17 C.F.R. § 240.10b-5 (2020).</w:t>
      </w:r>
    </w:p>
    <w:p w14:paraId="000000CE"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For Astoria’s securities fraud claim to succeed, this Court must find that Astoria has a private right of action under either § 10(b) or Rule 10b-5 and that Appellees acted in violation of that section or rule. To best support Congress’s goals in enacting the SEA and to uphold vast federal-court precedent, this Court should find that Astoria has a private right of action under Rule 10b-5 to redress her securities fraud claim. Furthermore, this Court should find that Appellees violated Rule 10b-5 by including a material zero-tolerance policy in their Code of Conduct and failing to speak honestly about or correct the policy in periodic SEC disclosures after turning a blind eye to confirmed workplace sexual harassment.   </w:t>
      </w:r>
    </w:p>
    <w:p w14:paraId="000000CF" w14:textId="77777777" w:rsidR="00F1592A" w:rsidRPr="00B22770" w:rsidRDefault="00711B04">
      <w:pPr>
        <w:pStyle w:val="Heading3"/>
        <w:numPr>
          <w:ilvl w:val="0"/>
          <w:numId w:val="5"/>
        </w:numPr>
        <w:spacing w:before="0" w:after="0" w:line="240" w:lineRule="auto"/>
        <w:rPr>
          <w:rFonts w:ascii="Times New Roman" w:eastAsia="Times New Roman" w:hAnsi="Times New Roman" w:cs="Times New Roman"/>
          <w:sz w:val="24"/>
          <w:szCs w:val="24"/>
        </w:rPr>
      </w:pPr>
      <w:bookmarkStart w:id="15" w:name="_5gh9hsszak28" w:colFirst="0" w:colLast="0"/>
      <w:bookmarkEnd w:id="15"/>
      <w:r w:rsidRPr="00B22770">
        <w:rPr>
          <w:rFonts w:ascii="Times New Roman" w:eastAsia="Times New Roman" w:hAnsi="Times New Roman" w:cs="Times New Roman"/>
          <w:color w:val="000000"/>
          <w:sz w:val="24"/>
          <w:szCs w:val="24"/>
          <w:u w:val="single"/>
        </w:rPr>
        <w:t>Astoria has a private right of action under Rule 10b-5 because her securities fraud claim is in line with Congress’s goals in enacting the SEA and overwhelmingly supportive federal-court precedent.</w:t>
      </w:r>
    </w:p>
    <w:p w14:paraId="000000D0" w14:textId="77777777" w:rsidR="00F1592A" w:rsidRPr="00B22770" w:rsidRDefault="00F1592A">
      <w:pPr>
        <w:ind w:left="1440"/>
        <w:rPr>
          <w:rFonts w:ascii="Times New Roman" w:hAnsi="Times New Roman" w:cs="Times New Roman"/>
          <w:sz w:val="24"/>
          <w:szCs w:val="24"/>
        </w:rPr>
      </w:pPr>
    </w:p>
    <w:p w14:paraId="000000D1"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Although neither § 10(b) nor Rule 10b-5 explicitly grants a private right of action, this Court has held since 1971 that Rule 10b-5 impliedly provides a private right of action to certain shareholders. </w:t>
      </w:r>
      <w:r w:rsidRPr="00B22770">
        <w:rPr>
          <w:rFonts w:ascii="Times New Roman" w:eastAsia="Times New Roman" w:hAnsi="Times New Roman" w:cs="Times New Roman"/>
          <w:sz w:val="24"/>
          <w:szCs w:val="24"/>
          <w:u w:val="single"/>
        </w:rPr>
        <w:t>Blue Chip Stamps v. Manor Drug Stores</w:t>
      </w:r>
      <w:r w:rsidRPr="00B22770">
        <w:rPr>
          <w:rFonts w:ascii="Times New Roman" w:eastAsia="Times New Roman" w:hAnsi="Times New Roman" w:cs="Times New Roman"/>
          <w:sz w:val="24"/>
          <w:szCs w:val="24"/>
        </w:rPr>
        <w:t xml:space="preserve">, 421 U.S. 723, 729-30 (1975) (“[W]e confirmed with virtually no discussion the overwhelming consensus of the District Courts and Courts of Appeals that such a cause of action did exist.”) (citing </w:t>
      </w:r>
      <w:r w:rsidRPr="00B22770">
        <w:rPr>
          <w:rFonts w:ascii="Times New Roman" w:eastAsia="Times New Roman" w:hAnsi="Times New Roman" w:cs="Times New Roman"/>
          <w:sz w:val="24"/>
          <w:szCs w:val="24"/>
          <w:u w:val="single"/>
        </w:rPr>
        <w:t>Superintendent of Ins. v. Bankers Life &amp; Cas. Co.</w:t>
      </w:r>
      <w:r w:rsidRPr="00B22770">
        <w:rPr>
          <w:rFonts w:ascii="Times New Roman" w:eastAsia="Times New Roman" w:hAnsi="Times New Roman" w:cs="Times New Roman"/>
          <w:sz w:val="24"/>
          <w:szCs w:val="24"/>
        </w:rPr>
        <w:t xml:space="preserve">, 404 U.S. 6, 13 n. 9 (1971)). However, not every claimant can maintain a private right of action under Rule 10b-5 for a securities-related claim.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Blue Chip</w:t>
      </w:r>
      <w:r w:rsidRPr="00B22770">
        <w:rPr>
          <w:rFonts w:ascii="Times New Roman" w:eastAsia="Times New Roman" w:hAnsi="Times New Roman" w:cs="Times New Roman"/>
          <w:sz w:val="24"/>
          <w:szCs w:val="24"/>
        </w:rPr>
        <w:t xml:space="preserve">, 421 U.S. at 754-55 (finding that claimants lacked a 10b-5 private right of action because they did not purchase or sell any shares);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Cent. Bank of Denver, N.A. v. First Interstate Bank, N.A.</w:t>
      </w:r>
      <w:r w:rsidRPr="00B22770">
        <w:rPr>
          <w:rFonts w:ascii="Times New Roman" w:eastAsia="Times New Roman" w:hAnsi="Times New Roman" w:cs="Times New Roman"/>
          <w:sz w:val="24"/>
          <w:szCs w:val="24"/>
        </w:rPr>
        <w:t>, 511 U.S. 164, 191 (1994) (finding that claimants lacked a 10b-5 private right because defendants were alleged to have aided and abetted, rather than directly perpetrated, securities fraud). Here though, Astoria has a valid basis for a 10b-5 private right of action because her securities fraud claim both aligns with the intent of Congress in enacting the SEA and overwhelmingly supportive federal-court precedent.</w:t>
      </w:r>
    </w:p>
    <w:p w14:paraId="000000D2" w14:textId="77777777" w:rsidR="00F1592A" w:rsidRPr="00B22770" w:rsidRDefault="00711B04">
      <w:pPr>
        <w:pStyle w:val="Heading4"/>
        <w:numPr>
          <w:ilvl w:val="0"/>
          <w:numId w:val="6"/>
        </w:numPr>
        <w:spacing w:before="0" w:after="0"/>
        <w:rPr>
          <w:rFonts w:ascii="Times New Roman" w:eastAsia="Times New Roman" w:hAnsi="Times New Roman" w:cs="Times New Roman"/>
          <w:color w:val="000000"/>
        </w:rPr>
      </w:pPr>
      <w:bookmarkStart w:id="16" w:name="_m22sqijgadxr" w:colFirst="0" w:colLast="0"/>
      <w:bookmarkEnd w:id="16"/>
      <w:r w:rsidRPr="00B22770">
        <w:rPr>
          <w:rFonts w:ascii="Times New Roman" w:eastAsia="Times New Roman" w:hAnsi="Times New Roman" w:cs="Times New Roman"/>
          <w:color w:val="000000"/>
        </w:rPr>
        <w:t>Rule 10b-5 gives Astoria a private right of action because the SEA specifically prohibits including misleading statements in SEC disclosures.</w:t>
      </w:r>
    </w:p>
    <w:p w14:paraId="000000D3" w14:textId="77777777" w:rsidR="00F1592A" w:rsidRPr="00B22770" w:rsidRDefault="00F1592A">
      <w:pPr>
        <w:ind w:left="2160"/>
        <w:rPr>
          <w:rFonts w:ascii="Times New Roman" w:hAnsi="Times New Roman" w:cs="Times New Roman"/>
          <w:sz w:val="24"/>
          <w:szCs w:val="24"/>
        </w:rPr>
      </w:pPr>
    </w:p>
    <w:p w14:paraId="000000D4"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Whether Rule 10b-5 provides a right of action for a particular issue depends in large part on “how the 1934 Congress would have addressed the issue had the 10b–5 action been included as an express provision in the 1934 Act.”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Cent. Bank</w:t>
      </w:r>
      <w:r w:rsidRPr="00B22770">
        <w:rPr>
          <w:rFonts w:ascii="Times New Roman" w:eastAsia="Times New Roman" w:hAnsi="Times New Roman" w:cs="Times New Roman"/>
          <w:sz w:val="24"/>
          <w:szCs w:val="24"/>
        </w:rPr>
        <w:t xml:space="preserve">, 511 U.S. at 173 (quoting </w:t>
      </w:r>
      <w:r w:rsidRPr="00B22770">
        <w:rPr>
          <w:rFonts w:ascii="Times New Roman" w:eastAsia="Times New Roman" w:hAnsi="Times New Roman" w:cs="Times New Roman"/>
          <w:sz w:val="24"/>
          <w:szCs w:val="24"/>
          <w:u w:val="single"/>
        </w:rPr>
        <w:t>Musick, Peeler &amp; Garrett v. Emps. Ins. of Wausau</w:t>
      </w:r>
      <w:r w:rsidRPr="00B22770">
        <w:rPr>
          <w:rFonts w:ascii="Times New Roman" w:eastAsia="Times New Roman" w:hAnsi="Times New Roman" w:cs="Times New Roman"/>
          <w:sz w:val="24"/>
          <w:szCs w:val="24"/>
        </w:rPr>
        <w:t xml:space="preserve">, 508 U.S. 286, 294 (1993)). Specifically, whether the claim at issue would have been deemed actionable by the 1934 Congress depends on whether the claim falls within “the express causes of action in the securities Acts.”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at 178 (“Had the 73d Congress enacted a private § 10(b) right of action, it likely would have designed it in a manner similar to the other private rights of action in the securities Acts.”). One such express cause of action is within Section 18 of the SEA, which “prohibits any person from making misleading statements in reports filed with the SEC.”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at 179 (citing 15 U.S.C. § 78r). Because Appellees’ misleading securities disclosures in periodic SEC filings harmed Astoria and other investors, Astoria’s claim is based on the exact behavior prohibited by the SEA’s Section 18. [R. 4];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Cent. Bank</w:t>
      </w:r>
      <w:r w:rsidRPr="00B22770">
        <w:rPr>
          <w:rFonts w:ascii="Times New Roman" w:eastAsia="Times New Roman" w:hAnsi="Times New Roman" w:cs="Times New Roman"/>
          <w:sz w:val="24"/>
          <w:szCs w:val="24"/>
        </w:rPr>
        <w:t xml:space="preserve">, 511 U.S. at 178-79. Therefore, the 1934 Congress would have likely found Astoria’s claim actionable and Rule 10b-5 should provide Astoria with a modern-day right of action.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Cent. Bank</w:t>
      </w:r>
      <w:r w:rsidRPr="00B22770">
        <w:rPr>
          <w:rFonts w:ascii="Times New Roman" w:eastAsia="Times New Roman" w:hAnsi="Times New Roman" w:cs="Times New Roman"/>
          <w:sz w:val="24"/>
          <w:szCs w:val="24"/>
        </w:rPr>
        <w:t>, 511 U.S. at 173.</w:t>
      </w:r>
    </w:p>
    <w:p w14:paraId="000000D5" w14:textId="77777777" w:rsidR="00F1592A" w:rsidRPr="00B22770" w:rsidRDefault="00711B04">
      <w:pPr>
        <w:pStyle w:val="Heading4"/>
        <w:numPr>
          <w:ilvl w:val="0"/>
          <w:numId w:val="6"/>
        </w:numPr>
        <w:spacing w:before="0" w:after="0"/>
        <w:rPr>
          <w:rFonts w:ascii="Times New Roman" w:eastAsia="Times New Roman" w:hAnsi="Times New Roman" w:cs="Times New Roman"/>
          <w:color w:val="000000"/>
        </w:rPr>
      </w:pPr>
      <w:bookmarkStart w:id="17" w:name="_eo5bj9a8snj4" w:colFirst="0" w:colLast="0"/>
      <w:bookmarkEnd w:id="17"/>
      <w:r w:rsidRPr="00B22770">
        <w:rPr>
          <w:rFonts w:ascii="Times New Roman" w:eastAsia="Times New Roman" w:hAnsi="Times New Roman" w:cs="Times New Roman"/>
          <w:color w:val="000000"/>
        </w:rPr>
        <w:t>Rule 10b-5 provides Astoria a private right of action because federal courts typically grant private rights of action to petitioners alleging harm from the effect of securities fraud on the public market.</w:t>
      </w:r>
    </w:p>
    <w:p w14:paraId="000000D6" w14:textId="77777777" w:rsidR="00F1592A" w:rsidRPr="00B22770" w:rsidRDefault="00F1592A">
      <w:pPr>
        <w:ind w:left="2160"/>
        <w:rPr>
          <w:rFonts w:ascii="Times New Roman" w:hAnsi="Times New Roman" w:cs="Times New Roman"/>
          <w:sz w:val="24"/>
          <w:szCs w:val="24"/>
        </w:rPr>
      </w:pPr>
    </w:p>
    <w:p w14:paraId="000000D7" w14:textId="77777777" w:rsidR="00F1592A" w:rsidRPr="00B22770" w:rsidRDefault="00711B04">
      <w:pPr>
        <w:widowControl w:val="0"/>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Astoria’s securities fraud claim should also be deemed actionable under Rule 10b-5 because of the strong precedent that federal courts have set in finding similar class action claims actionable.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[R. 8] (“[E]ach federal court that has considered this type of claim has assumed that plaintiffs can proceed under the 10b-5 private right of action.”);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Basic Inc. v. Levinson</w:t>
      </w:r>
      <w:r w:rsidRPr="00B22770">
        <w:rPr>
          <w:rFonts w:ascii="Times New Roman" w:eastAsia="Times New Roman" w:hAnsi="Times New Roman" w:cs="Times New Roman"/>
          <w:sz w:val="24"/>
          <w:szCs w:val="24"/>
        </w:rPr>
        <w:t xml:space="preserve">, 485 U.S. 224, 241-49 (1988) (finding that claimants had a private right of action by virtue of the effect of material misrepresentations on an efficient public market). Astoria’s claim, like that in </w:t>
      </w:r>
      <w:r w:rsidRPr="00B22770">
        <w:rPr>
          <w:rFonts w:ascii="Times New Roman" w:eastAsia="Times New Roman" w:hAnsi="Times New Roman" w:cs="Times New Roman"/>
          <w:sz w:val="24"/>
          <w:szCs w:val="24"/>
          <w:u w:val="single"/>
        </w:rPr>
        <w:t>Basic</w:t>
      </w:r>
      <w:r w:rsidRPr="00B22770">
        <w:rPr>
          <w:rFonts w:ascii="Times New Roman" w:eastAsia="Times New Roman" w:hAnsi="Times New Roman" w:cs="Times New Roman"/>
          <w:sz w:val="24"/>
          <w:szCs w:val="24"/>
        </w:rPr>
        <w:t xml:space="preserve">, stems from harm to investors caused by the effect of material misrepresentations on the public stock exchange.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[R. 3-4, 8];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485 U.S. at 241-49. Therefore, just as previous similar cases were deemed actionable, Astoria’s claim should be actionable under Rule 10b-5 as well.</w:t>
      </w:r>
    </w:p>
    <w:p w14:paraId="000000D8" w14:textId="77777777" w:rsidR="00F1592A" w:rsidRPr="00B22770" w:rsidRDefault="00711B04">
      <w:pPr>
        <w:widowControl w:val="0"/>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Overall, because Astoria’s claim fits within the type of claims that the 1934 Congress would have likely found actionable and is in line with abundantly supportive judicial federal precedent, Astoria’s claim should be found actionable under Rule 10b-5.</w:t>
      </w:r>
    </w:p>
    <w:p w14:paraId="000000D9" w14:textId="77777777" w:rsidR="00F1592A" w:rsidRPr="00B22770" w:rsidRDefault="00711B04">
      <w:pPr>
        <w:pStyle w:val="Heading3"/>
        <w:keepNext w:val="0"/>
        <w:keepLines w:val="0"/>
        <w:widowControl w:val="0"/>
        <w:numPr>
          <w:ilvl w:val="0"/>
          <w:numId w:val="5"/>
        </w:numPr>
        <w:spacing w:before="0" w:line="240" w:lineRule="auto"/>
        <w:rPr>
          <w:rFonts w:ascii="Times New Roman" w:eastAsia="Times New Roman" w:hAnsi="Times New Roman" w:cs="Times New Roman"/>
          <w:sz w:val="24"/>
          <w:szCs w:val="24"/>
        </w:rPr>
      </w:pPr>
      <w:bookmarkStart w:id="18" w:name="_nsmf53e3862k" w:colFirst="0" w:colLast="0"/>
      <w:bookmarkEnd w:id="18"/>
      <w:r w:rsidRPr="00B22770">
        <w:rPr>
          <w:rFonts w:ascii="Times New Roman" w:eastAsia="Times New Roman" w:hAnsi="Times New Roman" w:cs="Times New Roman"/>
          <w:color w:val="000000"/>
          <w:sz w:val="24"/>
          <w:szCs w:val="24"/>
          <w:u w:val="single"/>
        </w:rPr>
        <w:t>Appellees repeatedly violated Rule 10b-5 in periodic SEC disclosures by materially misrepresenting their zero-tolerance policy for sexual harassment.</w:t>
      </w:r>
    </w:p>
    <w:p w14:paraId="000000DA" w14:textId="77777777" w:rsidR="00F1592A" w:rsidRPr="00B22770" w:rsidRDefault="00F1592A">
      <w:pPr>
        <w:ind w:left="1440"/>
        <w:rPr>
          <w:rFonts w:ascii="Times New Roman" w:hAnsi="Times New Roman" w:cs="Times New Roman"/>
          <w:sz w:val="24"/>
          <w:szCs w:val="24"/>
        </w:rPr>
      </w:pPr>
    </w:p>
    <w:p w14:paraId="000000D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In addition to Astoria’s private right of action under Rule 10b-5, Appellees violated Rule 10b-5 by neither disclosing truthfully about nor correcting their material zero-tolerance policy. Violation of Rule 10b-5 by a publicly-traded company requires: “(1) a material misrepresentation or omission by the defendant; (2) scienter; (3) a connection between the misrepresentation or omission and the purchase or sale of a security; (4) reliance upon the misrepresentation or omission; (5) economic loss; and (6) loss causation.” </w:t>
      </w:r>
      <w:r w:rsidRPr="00B22770">
        <w:rPr>
          <w:rFonts w:ascii="Times New Roman" w:eastAsia="Times New Roman" w:hAnsi="Times New Roman" w:cs="Times New Roman"/>
          <w:sz w:val="24"/>
          <w:szCs w:val="24"/>
          <w:u w:val="single"/>
        </w:rPr>
        <w:t>Matrixx Initiatives, Inc v. Siracusano</w:t>
      </w:r>
      <w:r w:rsidRPr="00B22770">
        <w:rPr>
          <w:rFonts w:ascii="Times New Roman" w:eastAsia="Times New Roman" w:hAnsi="Times New Roman" w:cs="Times New Roman"/>
          <w:sz w:val="24"/>
          <w:szCs w:val="24"/>
        </w:rPr>
        <w:t xml:space="preserve">, 563 U.S. 27, 37-38 (2011) (quoting </w:t>
      </w:r>
      <w:r w:rsidRPr="00B22770">
        <w:rPr>
          <w:rFonts w:ascii="Times New Roman" w:eastAsia="Times New Roman" w:hAnsi="Times New Roman" w:cs="Times New Roman"/>
          <w:sz w:val="24"/>
          <w:szCs w:val="24"/>
          <w:u w:val="single"/>
        </w:rPr>
        <w:t>Stoneridge Inv. Partners, LLC v. Scientific–Atlanta, Inc.</w:t>
      </w:r>
      <w:r w:rsidRPr="00B22770">
        <w:rPr>
          <w:rFonts w:ascii="Times New Roman" w:eastAsia="Times New Roman" w:hAnsi="Times New Roman" w:cs="Times New Roman"/>
          <w:sz w:val="24"/>
          <w:szCs w:val="24"/>
        </w:rPr>
        <w:t>, 552 U.S. 148, 157 (2008)). The issue here is solely whether Appellees’ unwillingness to accurately disclose about or correct GG’s zero-tolerance policy constituted a material misrepresentation or omission. [R. 8].</w:t>
      </w:r>
    </w:p>
    <w:p w14:paraId="000000DC"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Materiality under Rule 10b-5 has two connected components. A misrepresentation or omission satisfies the materiality element of Rule 10b-5 when a company has (a) material information and (b) a duty to disclose the information.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Matrixx</w:t>
      </w:r>
      <w:r w:rsidRPr="00B22770">
        <w:rPr>
          <w:rFonts w:ascii="Times New Roman" w:eastAsia="Times New Roman" w:hAnsi="Times New Roman" w:cs="Times New Roman"/>
          <w:sz w:val="24"/>
          <w:szCs w:val="24"/>
        </w:rPr>
        <w:t xml:space="preserve">, 563 U.S. at 44;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Basic</w:t>
      </w:r>
      <w:r w:rsidRPr="00B22770">
        <w:rPr>
          <w:rFonts w:ascii="Times New Roman" w:eastAsia="Times New Roman" w:hAnsi="Times New Roman" w:cs="Times New Roman"/>
          <w:sz w:val="24"/>
          <w:szCs w:val="24"/>
        </w:rPr>
        <w:t>, 485 U.S. at 239 n.7 (“Silence, absent a duty to disclose, is not misleading under Rule 10b–5.”). Here, Appellees’ zero-tolerance policy was material and they had both a general duty to speak honestly about and a duty to correct the policy after failing to respond to verified sexual harassment claims.</w:t>
      </w:r>
    </w:p>
    <w:p w14:paraId="000000DD" w14:textId="77777777" w:rsidR="00F1592A" w:rsidRPr="00B22770" w:rsidRDefault="00711B04">
      <w:pPr>
        <w:pStyle w:val="Heading4"/>
        <w:numPr>
          <w:ilvl w:val="0"/>
          <w:numId w:val="16"/>
        </w:numPr>
        <w:spacing w:before="0" w:after="0" w:line="240" w:lineRule="auto"/>
        <w:rPr>
          <w:rFonts w:ascii="Times New Roman" w:eastAsia="Times New Roman" w:hAnsi="Times New Roman" w:cs="Times New Roman"/>
          <w:color w:val="000000"/>
        </w:rPr>
      </w:pPr>
      <w:bookmarkStart w:id="19" w:name="_1cdxmwxx6ydb" w:colFirst="0" w:colLast="0"/>
      <w:bookmarkEnd w:id="19"/>
      <w:r w:rsidRPr="00B22770">
        <w:rPr>
          <w:rFonts w:ascii="Times New Roman" w:eastAsia="Times New Roman" w:hAnsi="Times New Roman" w:cs="Times New Roman"/>
          <w:color w:val="000000"/>
        </w:rPr>
        <w:t>Appellees’ zero-tolerance policy was material because of the policy’s specificity, periodic appearances in public SEC disclosures, and effect on the market when revealed as inaccurate.</w:t>
      </w:r>
    </w:p>
    <w:p w14:paraId="000000DE" w14:textId="77777777" w:rsidR="00F1592A" w:rsidRPr="00B22770" w:rsidRDefault="00F1592A">
      <w:pPr>
        <w:ind w:left="2160"/>
        <w:rPr>
          <w:rFonts w:ascii="Times New Roman" w:hAnsi="Times New Roman" w:cs="Times New Roman"/>
          <w:sz w:val="24"/>
          <w:szCs w:val="24"/>
        </w:rPr>
      </w:pPr>
    </w:p>
    <w:p w14:paraId="000000DF"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This Court should find Appellees’ zero-tolerance policy material because the policy’s specificity and frequency in securities disclosures was considered important and reliable by reasonable investors. For a misrepresentation or omission to be material, there must be “a substantial likelihood that, under all the circumstances, the omitted fact [or misrepresentation] would have assumed actual significance in the deliberations of the reasonable shareholder.” </w:t>
      </w:r>
      <w:r w:rsidRPr="00B22770">
        <w:rPr>
          <w:rFonts w:ascii="Times New Roman" w:eastAsia="Times New Roman" w:hAnsi="Times New Roman" w:cs="Times New Roman"/>
          <w:sz w:val="24"/>
          <w:szCs w:val="24"/>
          <w:u w:val="single"/>
        </w:rPr>
        <w:t>TSC Indus., Inc. v. Northway, Inc.</w:t>
      </w:r>
      <w:r w:rsidRPr="00B22770">
        <w:rPr>
          <w:rFonts w:ascii="Times New Roman" w:eastAsia="Times New Roman" w:hAnsi="Times New Roman" w:cs="Times New Roman"/>
          <w:sz w:val="24"/>
          <w:szCs w:val="24"/>
        </w:rPr>
        <w:t xml:space="preserve">, 426 U.S. 438, 449 (1976) (“The question of materiality … is an objective one.”). Turning to materiality of ethical statements in codes of conduct, ethical statements by companies are material, rather than mere puffery, when they are specific and reliable enough for reasonable investors to believe important.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Ind. State Dist. Council of Laborers &amp; Hod Carriers Pension &amp; Welfare Fund v. Omnicare, Inc.</w:t>
      </w:r>
      <w:r w:rsidRPr="00B22770">
        <w:rPr>
          <w:rFonts w:ascii="Times New Roman" w:eastAsia="Times New Roman" w:hAnsi="Times New Roman" w:cs="Times New Roman"/>
          <w:sz w:val="24"/>
          <w:szCs w:val="24"/>
        </w:rPr>
        <w:t xml:space="preserve">, 583 F.3d 935, 944 (6th Cir. 2009) (noting puffery to include “loosely optimistic statements that are so vague … that no reasonable investor could find them important”);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ECA, Local 134 IBEW Joint Pension Tr. of Chi. v. JP Morgan Chase Co.</w:t>
      </w:r>
      <w:r w:rsidRPr="00B22770">
        <w:rPr>
          <w:rFonts w:ascii="Times New Roman" w:eastAsia="Times New Roman" w:hAnsi="Times New Roman" w:cs="Times New Roman"/>
          <w:sz w:val="24"/>
          <w:szCs w:val="24"/>
        </w:rPr>
        <w:t>, 553 F.3d 187, 206 (2d Cir. 2009) (finding disclosures in SEC filings about defendant’s reputation for integrity to be puffery because the statements were “too general to cause a reasonable investor to rely upon them”).</w:t>
      </w:r>
    </w:p>
    <w:p w14:paraId="000000E0"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In assessing whether statements are puffery, courts rely on “context-specific factors, including specificity, emphasis, and whether certain statements are designed to distinguish the company in some meaningful way to the investing public.” </w:t>
      </w:r>
      <w:r w:rsidRPr="00B22770">
        <w:rPr>
          <w:rFonts w:ascii="Times New Roman" w:eastAsia="Times New Roman" w:hAnsi="Times New Roman" w:cs="Times New Roman"/>
          <w:sz w:val="24"/>
          <w:szCs w:val="24"/>
          <w:u w:val="single"/>
        </w:rPr>
        <w:t>In re Signet Jewelers Ltd. Sec. Litig.</w:t>
      </w:r>
      <w:r w:rsidRPr="00B22770">
        <w:rPr>
          <w:rFonts w:ascii="Times New Roman" w:eastAsia="Times New Roman" w:hAnsi="Times New Roman" w:cs="Times New Roman"/>
          <w:sz w:val="24"/>
          <w:szCs w:val="24"/>
        </w:rPr>
        <w:t xml:space="preserve">, 389 F. Supp. 3d 221, 230 (S.D.N.Y. 2019); </w:t>
      </w:r>
      <w:r w:rsidRPr="00B22770">
        <w:rPr>
          <w:rFonts w:ascii="Times New Roman" w:eastAsia="Times New Roman" w:hAnsi="Times New Roman" w:cs="Times New Roman"/>
          <w:sz w:val="24"/>
          <w:szCs w:val="24"/>
          <w:u w:val="single"/>
        </w:rPr>
        <w:t>compare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Ind. Pub. Ret. Sys. v. SAIC, Inc.</w:t>
      </w:r>
      <w:r w:rsidRPr="00B22770">
        <w:rPr>
          <w:rFonts w:ascii="Times New Roman" w:eastAsia="Times New Roman" w:hAnsi="Times New Roman" w:cs="Times New Roman"/>
          <w:sz w:val="24"/>
          <w:szCs w:val="24"/>
        </w:rPr>
        <w:t>, 818 F.3d 85, 97-98 (2d Cir. 2016) (finding statements in an annual company report about ethics to be mere puffery because they were too general to serve as a guarantee that the company would always act in line with them),</w:t>
      </w:r>
      <w:r w:rsidRPr="00B22770">
        <w:rPr>
          <w:rFonts w:ascii="Times New Roman" w:eastAsia="Times New Roman" w:hAnsi="Times New Roman" w:cs="Times New Roman"/>
          <w:b/>
          <w:sz w:val="24"/>
          <w:szCs w:val="24"/>
        </w:rPr>
        <w:t xml:space="preserve"> </w:t>
      </w:r>
      <w:r w:rsidRPr="00B22770">
        <w:rPr>
          <w:rFonts w:ascii="Times New Roman" w:eastAsia="Times New Roman" w:hAnsi="Times New Roman" w:cs="Times New Roman"/>
          <w:sz w:val="24"/>
          <w:szCs w:val="24"/>
          <w:u w:val="single"/>
        </w:rPr>
        <w:t>with</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 re Petrobras Sec. Litig.</w:t>
      </w:r>
      <w:r w:rsidRPr="00B22770">
        <w:rPr>
          <w:rFonts w:ascii="Times New Roman" w:eastAsia="Times New Roman" w:hAnsi="Times New Roman" w:cs="Times New Roman"/>
          <w:sz w:val="24"/>
          <w:szCs w:val="24"/>
        </w:rPr>
        <w:t>, 116 F. Supp. 3d 368, 381 (S.D.N.Y. 2015) (finding defendant’s “statements regarding its general integrity and ethical soundness” to be material because “the statements were made repeatedly in an effort to reassure the investing public about the Company’s integrity”).</w:t>
      </w:r>
    </w:p>
    <w:p w14:paraId="000000E1"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 drop in the prices of shares after news of withheld information can also serve as proof that the information was material.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No. 84 Employer-Teamster Joint Council Pension Trust Fund v. Am. W. Holding</w:t>
      </w:r>
      <w:r w:rsidRPr="00B22770">
        <w:rPr>
          <w:rFonts w:ascii="Times New Roman" w:eastAsia="Times New Roman" w:hAnsi="Times New Roman" w:cs="Times New Roman"/>
          <w:sz w:val="24"/>
          <w:szCs w:val="24"/>
        </w:rPr>
        <w:t xml:space="preserve">, 320 F.3d 920, 935 (9th Cir. 2003) (finding a post-disclosure 31% drop in stock price to “further suppor[t] a finding of materiality”);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The New Orleans Emps. Ret. Sys. v. Celestica, Inc.</w:t>
      </w:r>
      <w:r w:rsidRPr="00B22770">
        <w:rPr>
          <w:rFonts w:ascii="Times New Roman" w:eastAsia="Times New Roman" w:hAnsi="Times New Roman" w:cs="Times New Roman"/>
          <w:sz w:val="24"/>
          <w:szCs w:val="24"/>
        </w:rPr>
        <w:t xml:space="preserve">, 455 Fed. App’x. 10, 16 (2d Cir. 2011) (finding materiality supported by “the precipitous decrease in share price that occurred” after disclosure of “the true state” of the company's inventory). Finally, “in view of the prophylactic purpose of the [securities fraud] Rule” and companies’ control over their own disclosures, close judgments of materiality should be resolved in favor of plaintiffs. </w:t>
      </w:r>
      <w:r w:rsidRPr="00B22770">
        <w:rPr>
          <w:rFonts w:ascii="Times New Roman" w:eastAsia="Times New Roman" w:hAnsi="Times New Roman" w:cs="Times New Roman"/>
          <w:sz w:val="24"/>
          <w:szCs w:val="24"/>
          <w:u w:val="single"/>
        </w:rPr>
        <w:t>TSC Indus.</w:t>
      </w:r>
      <w:r w:rsidRPr="00B22770">
        <w:rPr>
          <w:rFonts w:ascii="Times New Roman" w:eastAsia="Times New Roman" w:hAnsi="Times New Roman" w:cs="Times New Roman"/>
          <w:sz w:val="24"/>
          <w:szCs w:val="24"/>
        </w:rPr>
        <w:t>, 426 U.S. at 448 (“[I]t is appropriate that these doubts be resolved in favor of those the statute is designed to protect.”).</w:t>
      </w:r>
    </w:p>
    <w:p w14:paraId="000000E2"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Here, Appellees’ zero-tolerance policy was objectively material because reasonable shareholders, such as the class of shareholders bringing suit, likely relied on Appellees’ policy in their investment deliberations. [R. 4];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TSC Indus.</w:t>
      </w:r>
      <w:r w:rsidRPr="00B22770">
        <w:rPr>
          <w:rFonts w:ascii="Times New Roman" w:eastAsia="Times New Roman" w:hAnsi="Times New Roman" w:cs="Times New Roman"/>
          <w:sz w:val="24"/>
          <w:szCs w:val="24"/>
        </w:rPr>
        <w:t xml:space="preserve">, 426 U.S. at 446, 449. While ethical statements within codes of conduct can be strictly aspirational, Appellees’ policy went beyond aspiration by describing itself as “zero-tolerance” and including detailed steps for enforcement.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A-1;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Ind. State</w:t>
      </w:r>
      <w:r w:rsidRPr="00B22770">
        <w:rPr>
          <w:rFonts w:ascii="Times New Roman" w:eastAsia="Times New Roman" w:hAnsi="Times New Roman" w:cs="Times New Roman"/>
          <w:sz w:val="24"/>
          <w:szCs w:val="24"/>
        </w:rPr>
        <w:t xml:space="preserve">, 583 F.3d at 944;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Ind. Pub.</w:t>
      </w:r>
      <w:r w:rsidRPr="00B22770">
        <w:rPr>
          <w:rFonts w:ascii="Times New Roman" w:eastAsia="Times New Roman" w:hAnsi="Times New Roman" w:cs="Times New Roman"/>
          <w:sz w:val="24"/>
          <w:szCs w:val="24"/>
        </w:rPr>
        <w:t>, 818 F.3d at 97-98. Specifically, the zero-tolerance policy explains that “[u]pon a report that an employee has been harassed by another employee, the Company will promptly begin an internal investigation” and that perpetrators “will be dismissed immediately.” Appendix A-1.</w:t>
      </w:r>
    </w:p>
    <w:p w14:paraId="000000E3"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In addition to being specific, Appellees’ zero-tolerance policy, like that in </w:t>
      </w:r>
      <w:r w:rsidRPr="00B22770">
        <w:rPr>
          <w:rFonts w:ascii="Times New Roman" w:eastAsia="Times New Roman" w:hAnsi="Times New Roman" w:cs="Times New Roman"/>
          <w:sz w:val="24"/>
          <w:szCs w:val="24"/>
          <w:u w:val="single"/>
        </w:rPr>
        <w:t>Petrobras</w:t>
      </w:r>
      <w:r w:rsidRPr="00B22770">
        <w:rPr>
          <w:rFonts w:ascii="Times New Roman" w:eastAsia="Times New Roman" w:hAnsi="Times New Roman" w:cs="Times New Roman"/>
          <w:sz w:val="24"/>
          <w:szCs w:val="24"/>
        </w:rPr>
        <w:t xml:space="preserve">, was periodically reemphasized by Appellees’ in their periodic SEC disclosures.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116 F. Supp. 3d at 381. Moreover, the 18% drop in share price after the </w:t>
      </w:r>
      <w:r w:rsidRPr="00B22770">
        <w:rPr>
          <w:rFonts w:ascii="Times New Roman" w:eastAsia="Times New Roman" w:hAnsi="Times New Roman" w:cs="Times New Roman"/>
          <w:sz w:val="24"/>
          <w:szCs w:val="24"/>
          <w:u w:val="single"/>
        </w:rPr>
        <w:t>Albers Times</w:t>
      </w:r>
      <w:r w:rsidRPr="00B22770">
        <w:rPr>
          <w:rFonts w:ascii="Times New Roman" w:eastAsia="Times New Roman" w:hAnsi="Times New Roman" w:cs="Times New Roman"/>
          <w:sz w:val="24"/>
          <w:szCs w:val="24"/>
        </w:rPr>
        <w:t xml:space="preserve"> article is further proof that investors relied on the truth of Appellees’ zero-tolerance policy in their investment decision making. [R. 4];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No. 84</w:t>
      </w:r>
      <w:r w:rsidRPr="00B22770">
        <w:rPr>
          <w:rFonts w:ascii="Times New Roman" w:eastAsia="Times New Roman" w:hAnsi="Times New Roman" w:cs="Times New Roman"/>
          <w:sz w:val="24"/>
          <w:szCs w:val="24"/>
        </w:rPr>
        <w:t xml:space="preserve">, 320 F.3d at 935. Finally, even if uncertainty remains as to the importance of Appellees’ zero-tolerance policy, close judgments should be resolved in favor of Astoria.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TSC Indus.</w:t>
      </w:r>
      <w:r w:rsidRPr="00B22770">
        <w:rPr>
          <w:rFonts w:ascii="Times New Roman" w:eastAsia="Times New Roman" w:hAnsi="Times New Roman" w:cs="Times New Roman"/>
          <w:sz w:val="24"/>
          <w:szCs w:val="24"/>
        </w:rPr>
        <w:t>, 426 U.S. at 448. Therefore, this Court should find Appellees’ specific and periodically repeated disclosures about its zero-tolerance policy to be material.</w:t>
      </w:r>
    </w:p>
    <w:p w14:paraId="000000E4" w14:textId="77777777" w:rsidR="00F1592A" w:rsidRPr="00B22770" w:rsidRDefault="00711B04">
      <w:pPr>
        <w:pStyle w:val="Heading4"/>
        <w:numPr>
          <w:ilvl w:val="0"/>
          <w:numId w:val="16"/>
        </w:numPr>
        <w:spacing w:before="0" w:after="0" w:line="240" w:lineRule="auto"/>
        <w:rPr>
          <w:rFonts w:ascii="Times New Roman" w:eastAsia="Times New Roman" w:hAnsi="Times New Roman" w:cs="Times New Roman"/>
          <w:color w:val="000000"/>
        </w:rPr>
      </w:pPr>
      <w:bookmarkStart w:id="20" w:name="_x02a7vj8x033" w:colFirst="0" w:colLast="0"/>
      <w:bookmarkEnd w:id="20"/>
      <w:r w:rsidRPr="00B22770">
        <w:rPr>
          <w:rFonts w:ascii="Times New Roman" w:eastAsia="Times New Roman" w:hAnsi="Times New Roman" w:cs="Times New Roman"/>
          <w:color w:val="000000"/>
        </w:rPr>
        <w:t>By choosing to include references to their Code of Conduct in SEC filings, Appellees had a duty to speak truthfully and completely about their material zero-tolerance policy in order to not mislead investors.</w:t>
      </w:r>
    </w:p>
    <w:p w14:paraId="000000E5" w14:textId="77777777" w:rsidR="00F1592A" w:rsidRPr="00B22770" w:rsidRDefault="00F1592A">
      <w:pPr>
        <w:ind w:left="2160"/>
        <w:rPr>
          <w:rFonts w:ascii="Times New Roman" w:hAnsi="Times New Roman" w:cs="Times New Roman"/>
          <w:sz w:val="24"/>
          <w:szCs w:val="24"/>
        </w:rPr>
      </w:pPr>
    </w:p>
    <w:p w14:paraId="000000E6"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The materiality element of Rule 10b-5 is met in Astoria’s case, not only because Appellees’ zero-tolerance policy was material, but also because Appellees had a general duty to speak truthfully about the policy in their securities disclosures. A general duty of honest disclosure arises when companies speak about material issues, including through mandatory disclosures to the SEC.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Ackerman v. Schwartz</w:t>
      </w:r>
      <w:r w:rsidRPr="00B22770">
        <w:rPr>
          <w:rFonts w:ascii="Times New Roman" w:eastAsia="Times New Roman" w:hAnsi="Times New Roman" w:cs="Times New Roman"/>
          <w:sz w:val="24"/>
          <w:szCs w:val="24"/>
        </w:rPr>
        <w:t xml:space="preserve">, 947 F.2d 841, 848 (7th Cir. 1991) (noting that when a publicly-traded company “speak[s] it must tell the truth about material issues”) (citing </w:t>
      </w:r>
      <w:r w:rsidRPr="00B22770">
        <w:rPr>
          <w:rFonts w:ascii="Times New Roman" w:eastAsia="Times New Roman" w:hAnsi="Times New Roman" w:cs="Times New Roman"/>
          <w:sz w:val="24"/>
          <w:szCs w:val="24"/>
          <w:u w:val="single"/>
        </w:rPr>
        <w:t>Basic</w:t>
      </w:r>
      <w:r w:rsidRPr="00B22770">
        <w:rPr>
          <w:rFonts w:ascii="Times New Roman" w:eastAsia="Times New Roman" w:hAnsi="Times New Roman" w:cs="Times New Roman"/>
          <w:sz w:val="24"/>
          <w:szCs w:val="24"/>
        </w:rPr>
        <w:t xml:space="preserve">, 485 U.S. at 232–36);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H.R. Rep. No. 73-1383, at 11 (1934) (emphasizing “the vital importance of true and accurate corporate reporting as an essential cog in the proper functioning of the public exchanges”). Specifically when speaking about material issues, companies have a general duty to speak completely without any misleading gaps in detail.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First Va. Bankshares v. Benson</w:t>
      </w:r>
      <w:r w:rsidRPr="00B22770">
        <w:rPr>
          <w:rFonts w:ascii="Times New Roman" w:eastAsia="Times New Roman" w:hAnsi="Times New Roman" w:cs="Times New Roman"/>
          <w:sz w:val="24"/>
          <w:szCs w:val="24"/>
        </w:rPr>
        <w:t xml:space="preserve">, 559 F.2d 1307, 1317 (5th Cir. 1977), cert. denied, 435 U.S. 952 (1978) (“A duty to speak the full truth arises when a defendant undertakes to say anything.”);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SEC v. Tex. Gulf Sulphur Co.</w:t>
      </w:r>
      <w:r w:rsidRPr="00B22770">
        <w:rPr>
          <w:rFonts w:ascii="Times New Roman" w:eastAsia="Times New Roman" w:hAnsi="Times New Roman" w:cs="Times New Roman"/>
          <w:sz w:val="24"/>
          <w:szCs w:val="24"/>
        </w:rPr>
        <w:t>, 401 F.2d 833, 861-862 (2d Cir. 1968) (en banc), cert. denied, 394 U.S. 976 (1969) (finding that although defendant’s press release about an ore strike was factually accurate, it was still a potentially misleading half-truth because it left out available evidence of the strike’s magnitude). Moreover, Rule 10b-5 itself explicitly prohibits omitting material facts “necessary in order to make [previous] statements made, in the light of the circumstances under which they were made, not misleading.” 17 C.F.R. § 240.10b–5.</w:t>
      </w:r>
    </w:p>
    <w:p w14:paraId="000000E7"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Given that Appellees’ zero-tolerance policy was material, Appellees had a general duty to speak honestly and completely about the policy in their public disclosures to the SEC.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Ackerman</w:t>
      </w:r>
      <w:r w:rsidRPr="00B22770">
        <w:rPr>
          <w:rFonts w:ascii="Times New Roman" w:eastAsia="Times New Roman" w:hAnsi="Times New Roman" w:cs="Times New Roman"/>
          <w:sz w:val="24"/>
          <w:szCs w:val="24"/>
        </w:rPr>
        <w:t xml:space="preserve">, 947 F.2d at 848. By omitting any mention of unresolved sexual harassment claims at GG, Appellees’ securities disclosures painted an incomplete picture of company policy.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SEC</w:t>
      </w:r>
      <w:r w:rsidRPr="00B22770">
        <w:rPr>
          <w:rFonts w:ascii="Times New Roman" w:eastAsia="Times New Roman" w:hAnsi="Times New Roman" w:cs="Times New Roman"/>
          <w:sz w:val="24"/>
          <w:szCs w:val="24"/>
        </w:rPr>
        <w:t xml:space="preserve">, 401 F.2d at 861-62. Even worse, unlike in </w:t>
      </w:r>
      <w:r w:rsidRPr="00B22770">
        <w:rPr>
          <w:rFonts w:ascii="Times New Roman" w:eastAsia="Times New Roman" w:hAnsi="Times New Roman" w:cs="Times New Roman"/>
          <w:sz w:val="24"/>
          <w:szCs w:val="24"/>
          <w:u w:val="single"/>
        </w:rPr>
        <w:t>SEC</w:t>
      </w:r>
      <w:r w:rsidRPr="00B22770">
        <w:rPr>
          <w:rFonts w:ascii="Times New Roman" w:eastAsia="Times New Roman" w:hAnsi="Times New Roman" w:cs="Times New Roman"/>
          <w:sz w:val="24"/>
          <w:szCs w:val="24"/>
        </w:rPr>
        <w:t xml:space="preserve">, Appellees’ “zero-tolerance” policy was not even factually accurate.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401 F.2d at 861-862. After investigating and then ignoring multiple sexual harassment claims at GG, Appellees’ subsequent SEC disclosures, “in the light of the circumstances under which they were made,” misled investors. [R. 3];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17 C.F.R. § 240.10b–5. Overall, Appellees failed to comply with their general duty to speak honestly and completely about their zero-tolerance policy in multiple quarterly and annual securities disclosures. </w:t>
      </w:r>
    </w:p>
    <w:p w14:paraId="000000E8" w14:textId="77777777" w:rsidR="00F1592A" w:rsidRPr="00B22770" w:rsidRDefault="00711B04">
      <w:pPr>
        <w:pStyle w:val="Heading4"/>
        <w:numPr>
          <w:ilvl w:val="0"/>
          <w:numId w:val="16"/>
        </w:numPr>
        <w:spacing w:before="0" w:after="0"/>
        <w:rPr>
          <w:rFonts w:ascii="Times New Roman" w:eastAsia="Times New Roman" w:hAnsi="Times New Roman" w:cs="Times New Roman"/>
          <w:color w:val="000000"/>
        </w:rPr>
      </w:pPr>
      <w:bookmarkStart w:id="21" w:name="_rvwjz7gw14d3" w:colFirst="0" w:colLast="0"/>
      <w:bookmarkEnd w:id="21"/>
      <w:r w:rsidRPr="00B22770">
        <w:rPr>
          <w:rFonts w:ascii="Times New Roman" w:eastAsia="Times New Roman" w:hAnsi="Times New Roman" w:cs="Times New Roman"/>
          <w:color w:val="000000"/>
        </w:rPr>
        <w:t xml:space="preserve">Once Appellees realized their forward-looking and reasonably reliable zero-tolerance policy was inaccurate, they had a duty to correct the policy. </w:t>
      </w:r>
    </w:p>
    <w:p w14:paraId="000000E9" w14:textId="77777777" w:rsidR="00F1592A" w:rsidRPr="00B22770" w:rsidRDefault="00F1592A">
      <w:pPr>
        <w:ind w:left="2160"/>
        <w:rPr>
          <w:rFonts w:ascii="Times New Roman" w:hAnsi="Times New Roman" w:cs="Times New Roman"/>
          <w:sz w:val="24"/>
          <w:szCs w:val="24"/>
        </w:rPr>
      </w:pPr>
    </w:p>
    <w:p w14:paraId="000000EA" w14:textId="0106F979"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Not only did Appellees have a general duty to speak truthfully and completely about their zero-tolerance policy, Appellees also had a duty to correct their policy once they realized it was inaccurate. Companies are duty-bound to correct disclosures “if a disclosure is in fact misleading when made, and the speaker thereafter learns of this.” </w:t>
      </w:r>
      <w:r w:rsidRPr="00B22770">
        <w:rPr>
          <w:rFonts w:ascii="Times New Roman" w:eastAsia="Times New Roman" w:hAnsi="Times New Roman" w:cs="Times New Roman"/>
          <w:sz w:val="24"/>
          <w:szCs w:val="24"/>
          <w:u w:val="single"/>
        </w:rPr>
        <w:t>Backman v. Polaroid Corp.</w:t>
      </w:r>
      <w:r w:rsidRPr="00B22770">
        <w:rPr>
          <w:rFonts w:ascii="Times New Roman" w:eastAsia="Times New Roman" w:hAnsi="Times New Roman" w:cs="Times New Roman"/>
          <w:sz w:val="24"/>
          <w:szCs w:val="24"/>
        </w:rPr>
        <w:t xml:space="preserve">, 910 F.2d 10, 16-17 (1st Cir. 1990). Specifically, </w:t>
      </w:r>
      <w:r w:rsidR="00E54B5B" w:rsidRPr="00B22770">
        <w:rPr>
          <w:rFonts w:ascii="Times New Roman" w:eastAsia="Times New Roman" w:hAnsi="Times New Roman" w:cs="Times New Roman"/>
          <w:sz w:val="24"/>
          <w:szCs w:val="24"/>
        </w:rPr>
        <w:t>subsequently inaccurate</w:t>
      </w:r>
      <w:r w:rsidRPr="00B22770">
        <w:rPr>
          <w:rFonts w:ascii="Times New Roman" w:eastAsia="Times New Roman" w:hAnsi="Times New Roman" w:cs="Times New Roman"/>
          <w:sz w:val="24"/>
          <w:szCs w:val="24"/>
        </w:rPr>
        <w:t xml:space="preserve"> disclosures should be corrected if they contained forward-looking and reasonably reliable statements. </w:t>
      </w:r>
      <w:r w:rsidRPr="00B22770">
        <w:rPr>
          <w:rFonts w:ascii="Times New Roman" w:eastAsia="Times New Roman" w:hAnsi="Times New Roman" w:cs="Times New Roman"/>
          <w:sz w:val="24"/>
          <w:szCs w:val="24"/>
          <w:u w:val="single"/>
        </w:rPr>
        <w:t>Compare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 re Healthco Int’l Sec. Litig.</w:t>
      </w:r>
      <w:r w:rsidRPr="00B22770">
        <w:rPr>
          <w:rFonts w:ascii="Times New Roman" w:eastAsia="Times New Roman" w:hAnsi="Times New Roman" w:cs="Times New Roman"/>
          <w:sz w:val="24"/>
          <w:szCs w:val="24"/>
        </w:rPr>
        <w:t xml:space="preserve">, 777 F. Supp. 109, 114 (D. Mass. 1991) (finding no duty to correct a third-quarter report that omitted impending fourth-quarter losses because the third-quarter report was not “necessarily indicative of the results to be expected from the full fiscal year”), </w:t>
      </w:r>
      <w:r w:rsidRPr="00B22770">
        <w:rPr>
          <w:rFonts w:ascii="Times New Roman" w:eastAsia="Times New Roman" w:hAnsi="Times New Roman" w:cs="Times New Roman"/>
          <w:sz w:val="24"/>
          <w:szCs w:val="24"/>
          <w:u w:val="single"/>
        </w:rPr>
        <w:t>with</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In re Facebook, Inc., IPO Sec. and Derivative Litig.</w:t>
      </w:r>
      <w:r w:rsidRPr="00B22770">
        <w:rPr>
          <w:rFonts w:ascii="Times New Roman" w:eastAsia="Times New Roman" w:hAnsi="Times New Roman" w:cs="Times New Roman"/>
          <w:sz w:val="24"/>
          <w:szCs w:val="24"/>
        </w:rPr>
        <w:t>, 986 F.Supp.2d 428, 465 (S.D.N.Y. 2013) (finding a duty to correct prior statements “once they were found to be untrue” because “Defendants made specific statements leading up to the Facebook IPO ensuring ‘on-time, on-target and ready-to-launch’ technology”).</w:t>
      </w:r>
    </w:p>
    <w:p w14:paraId="000000E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Here, Appellees had a duty to correct their zero-tolerance policy, referenced in all their securities disclosures, once they realized that the policy was misleading.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Backman</w:t>
      </w:r>
      <w:r w:rsidRPr="00B22770">
        <w:rPr>
          <w:rFonts w:ascii="Times New Roman" w:eastAsia="Times New Roman" w:hAnsi="Times New Roman" w:cs="Times New Roman"/>
          <w:sz w:val="24"/>
          <w:szCs w:val="24"/>
        </w:rPr>
        <w:t xml:space="preserve">, 910 F.2d at 16-17. Specifically, Appellees’ zero-tolerance policy misled investors by claiming “that [the policy] applies to all employees” and that “[a]ny employee who … is found to have sexually harassed another employee will be dismissed immediately.” Appendix A-1. In reality, Appellees confirmed and then took no action to respond to internal sexual harassment claims in 2016 and again in 2018. [R. 2-3]. Moreover, unlike the siloed third-quarter earnings report in </w:t>
      </w:r>
      <w:r w:rsidRPr="00B22770">
        <w:rPr>
          <w:rFonts w:ascii="Times New Roman" w:eastAsia="Times New Roman" w:hAnsi="Times New Roman" w:cs="Times New Roman"/>
          <w:sz w:val="24"/>
          <w:szCs w:val="24"/>
          <w:u w:val="single"/>
        </w:rPr>
        <w:t>Healthco</w:t>
      </w:r>
      <w:r w:rsidRPr="00B22770">
        <w:rPr>
          <w:rFonts w:ascii="Times New Roman" w:eastAsia="Times New Roman" w:hAnsi="Times New Roman" w:cs="Times New Roman"/>
          <w:sz w:val="24"/>
          <w:szCs w:val="24"/>
        </w:rPr>
        <w:t xml:space="preserve">, Appellees’ zero-tolerance policy spoke to both current and ongoing procedures and standards by  stating that “the Company </w:t>
      </w:r>
      <w:r w:rsidRPr="00B22770">
        <w:rPr>
          <w:rFonts w:ascii="Times New Roman" w:eastAsia="Times New Roman" w:hAnsi="Times New Roman" w:cs="Times New Roman"/>
          <w:i/>
          <w:sz w:val="24"/>
          <w:szCs w:val="24"/>
        </w:rPr>
        <w:t xml:space="preserve">maintains </w:t>
      </w:r>
      <w:r w:rsidRPr="00B22770">
        <w:rPr>
          <w:rFonts w:ascii="Times New Roman" w:eastAsia="Times New Roman" w:hAnsi="Times New Roman" w:cs="Times New Roman"/>
          <w:sz w:val="24"/>
          <w:szCs w:val="24"/>
        </w:rPr>
        <w:t xml:space="preserve">a zero-tolerance … policy” and that all employees “are expected to comply … as a condition of their </w:t>
      </w:r>
      <w:r w:rsidRPr="00B22770">
        <w:rPr>
          <w:rFonts w:ascii="Times New Roman" w:eastAsia="Times New Roman" w:hAnsi="Times New Roman" w:cs="Times New Roman"/>
          <w:i/>
          <w:sz w:val="24"/>
          <w:szCs w:val="24"/>
        </w:rPr>
        <w:t xml:space="preserve">continued </w:t>
      </w:r>
      <w:r w:rsidRPr="00B22770">
        <w:rPr>
          <w:rFonts w:ascii="Times New Roman" w:eastAsia="Times New Roman" w:hAnsi="Times New Roman" w:cs="Times New Roman"/>
          <w:sz w:val="24"/>
          <w:szCs w:val="24"/>
        </w:rPr>
        <w:t xml:space="preserve">employment.” Appendix A-1 (emphasis added);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777 F. Supp. at 114. </w:t>
      </w:r>
    </w:p>
    <w:p w14:paraId="000000EC"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Like the technology assurances in </w:t>
      </w:r>
      <w:r w:rsidRPr="00B22770">
        <w:rPr>
          <w:rFonts w:ascii="Times New Roman" w:eastAsia="Times New Roman" w:hAnsi="Times New Roman" w:cs="Times New Roman"/>
          <w:sz w:val="24"/>
          <w:szCs w:val="24"/>
          <w:u w:val="single"/>
        </w:rPr>
        <w:t>Facebook</w:t>
      </w:r>
      <w:r w:rsidRPr="00B22770">
        <w:rPr>
          <w:rFonts w:ascii="Times New Roman" w:eastAsia="Times New Roman" w:hAnsi="Times New Roman" w:cs="Times New Roman"/>
          <w:sz w:val="24"/>
          <w:szCs w:val="24"/>
        </w:rPr>
        <w:t xml:space="preserve">, Appellees’ zero-tolerance policy was forward-looking in describing how investors and GG employees alike should expect Appellees to react to any and all sexual harassment claims at GG.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A-1;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986 F.Supp.2d at 465. Just like statements in </w:t>
      </w:r>
      <w:r w:rsidRPr="00B22770">
        <w:rPr>
          <w:rFonts w:ascii="Times New Roman" w:eastAsia="Times New Roman" w:hAnsi="Times New Roman" w:cs="Times New Roman"/>
          <w:sz w:val="24"/>
          <w:szCs w:val="24"/>
          <w:u w:val="single"/>
        </w:rPr>
        <w:t>Facebook</w:t>
      </w:r>
      <w:r w:rsidRPr="00B22770">
        <w:rPr>
          <w:rFonts w:ascii="Times New Roman" w:eastAsia="Times New Roman" w:hAnsi="Times New Roman" w:cs="Times New Roman"/>
          <w:sz w:val="24"/>
          <w:szCs w:val="24"/>
        </w:rPr>
        <w:t xml:space="preserve"> ensured inventors about specific technology standards, Appellees’ zero-tolerance policy ensured investors that “[n]o confirmed instances of workplace sexual harassment will be allowed to persist at the company.”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A-1;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986 F.Supp.2d at 465. The specific applicability and enforcement steps detailed within Appellees’ zero-tolerance policy ensured reasonable investors of the policy’s reliability.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A-1;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986 F.Supp.2d at 465. Therefore, once Appellees realized that their zero-tolerance policy was inaccurate, Appellees had a duty to correct it.</w:t>
      </w:r>
    </w:p>
    <w:p w14:paraId="000000ED"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Overall, Appellees repeatedly violated Rule 10b-5 in securities disclosures by materially misrepresenting their zero-tolerance policy for sexual harassment. Appellees’ zero-tolerance policy was material to the investing public and Appellees never lived up to their general duty to speak truthfully about the Code’s sexual harassment policy. After realizing the inaccuracies within their zero-tolerance policy Appellees failed to meet their duty to correct and speak out about the inaccuracies.</w:t>
      </w:r>
    </w:p>
    <w:p w14:paraId="000000EE" w14:textId="77777777" w:rsidR="00F1592A" w:rsidRPr="00B22770" w:rsidRDefault="00711B04">
      <w:pPr>
        <w:pStyle w:val="Heading2"/>
        <w:numPr>
          <w:ilvl w:val="0"/>
          <w:numId w:val="8"/>
        </w:numPr>
        <w:rPr>
          <w:rFonts w:ascii="Times New Roman" w:eastAsia="Times New Roman" w:hAnsi="Times New Roman" w:cs="Times New Roman"/>
          <w:sz w:val="24"/>
          <w:szCs w:val="24"/>
        </w:rPr>
      </w:pPr>
      <w:bookmarkStart w:id="22" w:name="_k6w24jvi5ndl" w:colFirst="0" w:colLast="0"/>
      <w:bookmarkEnd w:id="22"/>
      <w:r w:rsidRPr="00B22770">
        <w:rPr>
          <w:rFonts w:ascii="Times New Roman" w:eastAsia="Times New Roman" w:hAnsi="Times New Roman" w:cs="Times New Roman"/>
          <w:sz w:val="24"/>
          <w:szCs w:val="24"/>
        </w:rPr>
        <w:t>THE FOURTEENTH CIRCUIT INCORRECTLY AFFIRMED THE GRANT OF SUMMARY JUDGMENT FOR APPELLEES BY FINDING THE ACT UNCONSTITUTIONAL UNDER THE EXTRATERRITORIALITY DOCTRINE BECAUSE THE DOCTRINE HAS PROVEN UNWORKABLE AND UNNECESSARY AND THE ACT IS BEYOND THE DOCTRINE’S SCOPE.</w:t>
      </w:r>
    </w:p>
    <w:p w14:paraId="000000EF" w14:textId="77777777" w:rsidR="00F1592A" w:rsidRPr="00B22770" w:rsidRDefault="00F1592A">
      <w:pPr>
        <w:ind w:left="720"/>
        <w:rPr>
          <w:rFonts w:ascii="Times New Roman" w:hAnsi="Times New Roman" w:cs="Times New Roman"/>
          <w:sz w:val="24"/>
          <w:szCs w:val="24"/>
        </w:rPr>
      </w:pPr>
    </w:p>
    <w:p w14:paraId="000000F0" w14:textId="77777777" w:rsidR="00F1592A" w:rsidRPr="00B22770" w:rsidRDefault="00711B04">
      <w:pPr>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rPr>
        <w:tab/>
        <w:t xml:space="preserve">This Court should reverse the Fourteenth Circuit’s affirmation of the district court’s decision that the Act is unconstitutional under the extraterritoriality doctrine of the dormant Commerce Clause. The Act promotes gender diversity in Albers in a manner consistent with the principles of the Commerce Clause and does not regulate wholly out-of-state commerce. This Court reviews questions of constitutionality de novo. See </w:t>
      </w:r>
      <w:r w:rsidRPr="00B22770">
        <w:rPr>
          <w:rFonts w:ascii="Times New Roman" w:eastAsia="Times New Roman" w:hAnsi="Times New Roman" w:cs="Times New Roman"/>
          <w:sz w:val="24"/>
          <w:szCs w:val="24"/>
          <w:u w:val="single"/>
        </w:rPr>
        <w:t>Wal-Mart Stores, Inc. v. Tex. Alcoholic Beverage Comm’n</w:t>
      </w:r>
      <w:r w:rsidRPr="00B22770">
        <w:rPr>
          <w:rFonts w:ascii="Times New Roman" w:eastAsia="Times New Roman" w:hAnsi="Times New Roman" w:cs="Times New Roman"/>
          <w:sz w:val="24"/>
          <w:szCs w:val="24"/>
        </w:rPr>
        <w:t>, 945 F.3d 206, 212 (5th Cir. 2019).</w:t>
      </w:r>
    </w:p>
    <w:p w14:paraId="000000F1" w14:textId="77777777" w:rsidR="00F1592A" w:rsidRPr="00B22770" w:rsidRDefault="00711B04">
      <w:pPr>
        <w:spacing w:line="480" w:lineRule="auto"/>
        <w:ind w:firstLine="720"/>
        <w:rPr>
          <w:rFonts w:ascii="Times New Roman" w:eastAsia="Times New Roman" w:hAnsi="Times New Roman" w:cs="Times New Roman"/>
          <w:sz w:val="24"/>
          <w:szCs w:val="24"/>
          <w:u w:val="single"/>
        </w:rPr>
      </w:pPr>
      <w:r w:rsidRPr="00B22770">
        <w:rPr>
          <w:rFonts w:ascii="Times New Roman" w:eastAsia="Times New Roman" w:hAnsi="Times New Roman" w:cs="Times New Roman"/>
          <w:sz w:val="24"/>
          <w:szCs w:val="24"/>
        </w:rPr>
        <w:t xml:space="preserve">The Commerce Clause gives Congress power to regulate interstate commerce. U.S. Const., art. I, § 8, cl. 3. The dormant Commerce Clause is an implied negative component of the Commerce Clause, which limits a state’s ability to pass legislation that interferes with interstate commerce.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CTS Corp. v. Dynamics Corp. of Am.</w:t>
      </w:r>
      <w:r w:rsidRPr="00B22770">
        <w:rPr>
          <w:rFonts w:ascii="Times New Roman" w:eastAsia="Times New Roman" w:hAnsi="Times New Roman" w:cs="Times New Roman"/>
          <w:sz w:val="24"/>
          <w:szCs w:val="24"/>
        </w:rPr>
        <w:t xml:space="preserve">, 481 U.S. 69, 87 (1987). The extraterritoriality doctrine is a judge-made rule grounded in the dormant Commerce Clause that precludes state legislation from either expressly regulating out-of-state commerce or having the effect of regulation, regardless of the legislature’s intent. </w:t>
      </w:r>
      <w:r w:rsidRPr="00B22770">
        <w:rPr>
          <w:rFonts w:ascii="Times New Roman" w:eastAsia="Times New Roman" w:hAnsi="Times New Roman" w:cs="Times New Roman"/>
          <w:sz w:val="24"/>
          <w:szCs w:val="24"/>
          <w:u w:val="single"/>
        </w:rPr>
        <w:t>Healy v. Beer Inst.</w:t>
      </w:r>
      <w:r w:rsidRPr="00B22770">
        <w:rPr>
          <w:rFonts w:ascii="Times New Roman" w:eastAsia="Times New Roman" w:hAnsi="Times New Roman" w:cs="Times New Roman"/>
          <w:sz w:val="24"/>
          <w:szCs w:val="24"/>
        </w:rPr>
        <w:t>, 491 U.S. 324, 326 (1989).</w:t>
      </w:r>
    </w:p>
    <w:p w14:paraId="000000F2"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The extraterritoriality doctrine has primarily been used to address the constitutionality of price affirmation and price control statutes. There are few cases where this Court has used the extraterritoriality doctrine to address the constitutionality of state corporation statutes. Variations in those holdings show that the doctrine has become unworkable and unclear and is no longer a useful tool for dormant Commerce Clause analysis. The lack of clear elements or a standard of review has created confusion for lower federal courts, a circuit split, and inconsistent approaches in evaluating the scope of the doctrine. The doctrine and its precedent should be overturned and no longer be applied in future cases.</w:t>
      </w:r>
    </w:p>
    <w:p w14:paraId="000000F3"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Furthermore, even if this Court does not overturn the doctrine’s precedent, the doctrine is not the appropriate tool for analyzing the Act. The doctrine applies only to “regulatory measures designed to benefit in-state economic interests by burdening out-of-state competitors,” not those that merely expose companies to inconsistent regulations.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New Energy Co. v. Limbach</w:t>
      </w:r>
      <w:r w:rsidRPr="00B22770">
        <w:rPr>
          <w:rFonts w:ascii="Times New Roman" w:eastAsia="Times New Roman" w:hAnsi="Times New Roman" w:cs="Times New Roman"/>
          <w:sz w:val="24"/>
          <w:szCs w:val="24"/>
        </w:rPr>
        <w:t xml:space="preserve">, 486 U.S. 269, 271 (1988); </w:t>
      </w:r>
      <w:r w:rsidRPr="00B22770">
        <w:rPr>
          <w:rFonts w:ascii="Times New Roman" w:eastAsia="Times New Roman" w:hAnsi="Times New Roman" w:cs="Times New Roman"/>
          <w:sz w:val="24"/>
          <w:szCs w:val="24"/>
          <w:u w:val="single"/>
        </w:rPr>
        <w:t>Dean Foods Co v. Brancel</w:t>
      </w:r>
      <w:r w:rsidRPr="00B22770">
        <w:rPr>
          <w:rFonts w:ascii="Times New Roman" w:eastAsia="Times New Roman" w:hAnsi="Times New Roman" w:cs="Times New Roman"/>
          <w:sz w:val="24"/>
          <w:szCs w:val="24"/>
        </w:rPr>
        <w:t xml:space="preserve">, 187 F.3d 609, 616 (7th Cir. 1999). Interpreted broadly, the doctrine examines whether a state statute will lead to a company being exposed to inconsistent regulations. However, the Constitution does not guarantee a uniform national regulatory scheme for all actors choosing to participate in interstate commerce. </w:t>
      </w:r>
      <w:r w:rsidRPr="00B22770">
        <w:rPr>
          <w:rFonts w:ascii="Times New Roman" w:eastAsia="Times New Roman" w:hAnsi="Times New Roman" w:cs="Times New Roman"/>
          <w:sz w:val="24"/>
          <w:szCs w:val="24"/>
          <w:u w:val="single"/>
        </w:rPr>
        <w:t>Exxon Corp. v. Governor of Md.</w:t>
      </w:r>
      <w:r w:rsidRPr="00B22770">
        <w:rPr>
          <w:rFonts w:ascii="Times New Roman" w:eastAsia="Times New Roman" w:hAnsi="Times New Roman" w:cs="Times New Roman"/>
          <w:sz w:val="24"/>
          <w:szCs w:val="24"/>
        </w:rPr>
        <w:t xml:space="preserve">, 437 U.S. 117, 127 (1978). This Court should find that the Fourteenth Circuit erred in adopting a broad approach to the doctrine and instead consider only whether the statute had the actual effect of regulating wholly out-of-state commerce. Under the narrow approach adopted by the First and Tenth Circuits, the Act is outside the scope of the extraterritoriality doctrine. </w:t>
      </w:r>
    </w:p>
    <w:p w14:paraId="000000F4" w14:textId="77777777" w:rsidR="00F1592A" w:rsidRPr="00B22770" w:rsidRDefault="00711B04">
      <w:pPr>
        <w:spacing w:line="480" w:lineRule="auto"/>
        <w:ind w:firstLine="720"/>
        <w:rPr>
          <w:rFonts w:ascii="Times New Roman" w:eastAsia="Times New Roman" w:hAnsi="Times New Roman" w:cs="Times New Roman"/>
          <w:color w:val="000000"/>
          <w:sz w:val="24"/>
          <w:szCs w:val="24"/>
          <w:u w:val="single"/>
        </w:rPr>
      </w:pPr>
      <w:r w:rsidRPr="00B22770">
        <w:rPr>
          <w:rFonts w:ascii="Times New Roman" w:eastAsia="Times New Roman" w:hAnsi="Times New Roman" w:cs="Times New Roman"/>
          <w:sz w:val="24"/>
          <w:szCs w:val="24"/>
        </w:rPr>
        <w:t xml:space="preserve">Even if this Court adopts a broad approach and analyzes the Act under the doctrine, the Act does not violate the doctrine. Because the Act affects shareholders within the State of Albers, it regulates both in and out-of-state commerce, not commerce occurring wholly outside the state. The correct method for analyzing a facially neutral statute that affects wholly out-of-state commerce is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not the extraterritoriality doctrine. </w:t>
      </w:r>
      <w:r w:rsidRPr="00B22770">
        <w:rPr>
          <w:rFonts w:ascii="Times New Roman" w:eastAsia="Times New Roman" w:hAnsi="Times New Roman" w:cs="Times New Roman"/>
          <w:sz w:val="24"/>
          <w:szCs w:val="24"/>
          <w:u w:val="single"/>
        </w:rPr>
        <w:t>Pike v. Bruce Church, Inc.</w:t>
      </w:r>
      <w:r w:rsidRPr="00B22770">
        <w:rPr>
          <w:rFonts w:ascii="Times New Roman" w:eastAsia="Times New Roman" w:hAnsi="Times New Roman" w:cs="Times New Roman"/>
          <w:sz w:val="24"/>
          <w:szCs w:val="24"/>
        </w:rPr>
        <w:t xml:space="preserve">, 397 U.S. 137, 142 (1970). Should this Court decide the Act affects wholly out-of-state commerce, it must analyze the Act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test. The Act would not be invalidated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test because the requirements set forth by the Act are not unduly burdensome when weighed against the putative benefits for the State of Albers. </w:t>
      </w:r>
      <w:r w:rsidRPr="00B22770">
        <w:rPr>
          <w:rFonts w:ascii="Times New Roman" w:eastAsia="Times New Roman" w:hAnsi="Times New Roman" w:cs="Times New Roman"/>
          <w:sz w:val="24"/>
          <w:szCs w:val="24"/>
          <w:u w:val="single"/>
        </w:rPr>
        <w:t>Id.</w:t>
      </w:r>
    </w:p>
    <w:p w14:paraId="000000F5" w14:textId="77777777" w:rsidR="00F1592A" w:rsidRPr="00B22770" w:rsidRDefault="00711B04">
      <w:pPr>
        <w:pStyle w:val="Heading3"/>
        <w:numPr>
          <w:ilvl w:val="0"/>
          <w:numId w:val="14"/>
        </w:numPr>
        <w:rPr>
          <w:rFonts w:ascii="Times New Roman" w:hAnsi="Times New Roman" w:cs="Times New Roman"/>
          <w:sz w:val="24"/>
          <w:szCs w:val="24"/>
        </w:rPr>
      </w:pPr>
      <w:bookmarkStart w:id="23" w:name="_jm4rqvv9mswx" w:colFirst="0" w:colLast="0"/>
      <w:bookmarkEnd w:id="23"/>
      <w:r w:rsidRPr="00B22770">
        <w:rPr>
          <w:rFonts w:ascii="Times New Roman" w:eastAsia="Times New Roman" w:hAnsi="Times New Roman" w:cs="Times New Roman"/>
          <w:color w:val="000000"/>
          <w:sz w:val="24"/>
          <w:szCs w:val="24"/>
          <w:u w:val="single"/>
        </w:rPr>
        <w:t>The extraterritoriality doctrine is no longer a useful tool for dormant Commerce Clause analysis because it is unworkable and unclear, and developments in related legal principles law have made the doctrine unnecessary and outdated.</w:t>
      </w:r>
    </w:p>
    <w:p w14:paraId="000000F6" w14:textId="77777777" w:rsidR="00F1592A" w:rsidRPr="00B22770" w:rsidRDefault="00F1592A">
      <w:pPr>
        <w:pStyle w:val="Heading3"/>
        <w:spacing w:before="0" w:after="0"/>
        <w:ind w:left="1440"/>
        <w:rPr>
          <w:rFonts w:ascii="Times New Roman" w:eastAsia="Times New Roman" w:hAnsi="Times New Roman" w:cs="Times New Roman"/>
          <w:sz w:val="24"/>
          <w:szCs w:val="24"/>
          <w:u w:val="single"/>
        </w:rPr>
      </w:pPr>
      <w:bookmarkStart w:id="24" w:name="_5ldgek600a1o" w:colFirst="0" w:colLast="0"/>
      <w:bookmarkEnd w:id="24"/>
    </w:p>
    <w:p w14:paraId="000000F7"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This Court should reverse the Fourteenth Circuit’s finding that the Act is unconstitutional under the extraterritoriality doctrine of the dormant Commerce Clause. The precedent set by the extraterritoriality doctrine should be overturned; the Act should not be evaluated under the doctrine nor should the doctrine be applied in future cases. While much deference should be given to the precedent set by this Court, the rule of stare decisis is not an "inexorable command." </w:t>
      </w:r>
      <w:r w:rsidRPr="00B22770">
        <w:rPr>
          <w:rFonts w:ascii="Times New Roman" w:eastAsia="Times New Roman" w:hAnsi="Times New Roman" w:cs="Times New Roman"/>
          <w:sz w:val="24"/>
          <w:szCs w:val="24"/>
          <w:u w:val="single"/>
        </w:rPr>
        <w:t>Planned Parenthood v. Casey</w:t>
      </w:r>
      <w:r w:rsidRPr="00B22770">
        <w:rPr>
          <w:rFonts w:ascii="Times New Roman" w:eastAsia="Times New Roman" w:hAnsi="Times New Roman" w:cs="Times New Roman"/>
          <w:sz w:val="24"/>
          <w:szCs w:val="24"/>
        </w:rPr>
        <w:t xml:space="preserve">, 505 U.S. 833, 854 (1992) (plurality opinion) (finding that rules in a prior decision may ultimately "prove[] to be intolerable simply in defying practical workability");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Payne v. Tennessee</w:t>
      </w:r>
      <w:r w:rsidRPr="00B22770">
        <w:rPr>
          <w:rFonts w:ascii="Times New Roman" w:eastAsia="Times New Roman" w:hAnsi="Times New Roman" w:cs="Times New Roman"/>
          <w:sz w:val="24"/>
          <w:szCs w:val="24"/>
        </w:rPr>
        <w:t xml:space="preserve">, 501 U.S. 808, 842 (1991) (concluding that wrongly decided and unworkable precedent should be overruled, and that stare decisis should not apply “as rigidly in constitutional cases as in nonconstitutional cases”). </w:t>
      </w:r>
    </w:p>
    <w:p w14:paraId="000000F8"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This Court has been faced with the question of whether or not to overrule past decisions numerous times. A list of non-exhaustive factors was identified in </w:t>
      </w:r>
      <w:r w:rsidRPr="00B22770">
        <w:rPr>
          <w:rFonts w:ascii="Times New Roman" w:eastAsia="Times New Roman" w:hAnsi="Times New Roman" w:cs="Times New Roman"/>
          <w:sz w:val="24"/>
          <w:szCs w:val="24"/>
          <w:u w:val="single"/>
        </w:rPr>
        <w:t>Planned Parenthood</w:t>
      </w:r>
      <w:r w:rsidRPr="00B22770">
        <w:rPr>
          <w:rFonts w:ascii="Times New Roman" w:eastAsia="Times New Roman" w:hAnsi="Times New Roman" w:cs="Times New Roman"/>
          <w:sz w:val="24"/>
          <w:szCs w:val="24"/>
        </w:rPr>
        <w:t xml:space="preserve"> to guide this Court when it considers overruling precedent.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505 U.S. at 855-56. Here, the Court should consider whether the rule has become unworkable so that reliance on the rule would create hardships and whether developments in related principles of law have made the rule outdated and unnecessary.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Janus v. Am. Fed. of State, Cnty., &amp; Mun. Emps., Council 31</w:t>
      </w:r>
      <w:r w:rsidRPr="00B22770">
        <w:rPr>
          <w:rFonts w:ascii="Times New Roman" w:eastAsia="Times New Roman" w:hAnsi="Times New Roman" w:cs="Times New Roman"/>
          <w:sz w:val="24"/>
          <w:szCs w:val="24"/>
        </w:rPr>
        <w:t>, 138 S. Ct. 2448, 2478 (2018).</w:t>
      </w:r>
    </w:p>
    <w:p w14:paraId="000000F9" w14:textId="583A2EF7" w:rsidR="00F1592A" w:rsidRPr="00B22770" w:rsidRDefault="00711B04">
      <w:pPr>
        <w:pStyle w:val="Heading4"/>
        <w:numPr>
          <w:ilvl w:val="0"/>
          <w:numId w:val="19"/>
        </w:numPr>
        <w:rPr>
          <w:rFonts w:ascii="Times New Roman" w:eastAsia="Times New Roman" w:hAnsi="Times New Roman" w:cs="Times New Roman"/>
        </w:rPr>
      </w:pPr>
      <w:bookmarkStart w:id="25" w:name="_jslhgvqka1t0" w:colFirst="0" w:colLast="0"/>
      <w:bookmarkEnd w:id="25"/>
      <w:r w:rsidRPr="00B22770">
        <w:rPr>
          <w:rFonts w:ascii="Times New Roman" w:eastAsia="Times New Roman" w:hAnsi="Times New Roman" w:cs="Times New Roman"/>
          <w:color w:val="000000"/>
        </w:rPr>
        <w:t>Extraterritoriality doctrine jurisprudence has become unworkable and unclear,</w:t>
      </w:r>
      <w:r w:rsidR="001652EF">
        <w:rPr>
          <w:rFonts w:ascii="Times New Roman" w:eastAsia="Times New Roman" w:hAnsi="Times New Roman" w:cs="Times New Roman"/>
          <w:color w:val="000000"/>
        </w:rPr>
        <w:t xml:space="preserve"> </w:t>
      </w:r>
      <w:r w:rsidRPr="00B22770">
        <w:rPr>
          <w:rFonts w:ascii="Times New Roman" w:eastAsia="Times New Roman" w:hAnsi="Times New Roman" w:cs="Times New Roman"/>
          <w:color w:val="000000"/>
        </w:rPr>
        <w:t>creating confusion in the lower federal courts.</w:t>
      </w:r>
    </w:p>
    <w:p w14:paraId="000000FA" w14:textId="77777777" w:rsidR="00F1592A" w:rsidRPr="00B22770" w:rsidRDefault="00F1592A">
      <w:pPr>
        <w:ind w:left="2160"/>
        <w:rPr>
          <w:rFonts w:ascii="Times New Roman" w:hAnsi="Times New Roman" w:cs="Times New Roman"/>
          <w:sz w:val="24"/>
          <w:szCs w:val="24"/>
        </w:rPr>
      </w:pPr>
    </w:p>
    <w:p w14:paraId="000000F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While precedent set by this Court should be given deference, the doctrine's lack of clarity and workability is grounds for overturning it.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Montejo v. Louisiana</w:t>
      </w:r>
      <w:r w:rsidRPr="00B22770">
        <w:rPr>
          <w:rFonts w:ascii="Times New Roman" w:eastAsia="Times New Roman" w:hAnsi="Times New Roman" w:cs="Times New Roman"/>
          <w:sz w:val="24"/>
          <w:szCs w:val="24"/>
        </w:rPr>
        <w:t xml:space="preserve">, 556 U.S. 778, 779 (2009) (finding that once a decision has proved unworkable, the court has traditional grounds to overrule it);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Planned Parenthood</w:t>
      </w:r>
      <w:r w:rsidRPr="00B22770">
        <w:rPr>
          <w:rFonts w:ascii="Times New Roman" w:eastAsia="Times New Roman" w:hAnsi="Times New Roman" w:cs="Times New Roman"/>
          <w:sz w:val="24"/>
          <w:szCs w:val="24"/>
        </w:rPr>
        <w:t xml:space="preserve">, 505 U.S. at 854. The extraterritoriality doctrine is over a century old but, as the Fourteenth Circuit acknowledged, this Court still has not established clear elements for review under the doctrine, making the doctrine too difficult to apply uniformly. [R. 15];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Bonaparte v. Tax Ct.</w:t>
      </w:r>
      <w:r w:rsidRPr="00B22770">
        <w:rPr>
          <w:rFonts w:ascii="Times New Roman" w:eastAsia="Times New Roman" w:hAnsi="Times New Roman" w:cs="Times New Roman"/>
          <w:sz w:val="24"/>
          <w:szCs w:val="24"/>
        </w:rPr>
        <w:t xml:space="preserve">, 104 U.S. 592, 845 (1881). The unworkability of the doctrine and its unclear standards have left lower court judges with too much discretion, causing unpredictable and contradictory outcomes and creating a circuit split over the doctrine’s scope. </w:t>
      </w:r>
      <w:r w:rsidRPr="00B22770">
        <w:rPr>
          <w:rFonts w:ascii="Times New Roman" w:eastAsia="Times New Roman" w:hAnsi="Times New Roman" w:cs="Times New Roman"/>
          <w:sz w:val="24"/>
          <w:szCs w:val="24"/>
          <w:u w:val="single"/>
        </w:rPr>
        <w:t>Compare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Ass’n for Accessible Meds v. Frosh</w:t>
      </w:r>
      <w:r w:rsidRPr="00B22770">
        <w:rPr>
          <w:rFonts w:ascii="Times New Roman" w:eastAsia="Times New Roman" w:hAnsi="Times New Roman" w:cs="Times New Roman"/>
          <w:sz w:val="24"/>
          <w:szCs w:val="24"/>
        </w:rPr>
        <w:t xml:space="preserve">, 887 F.3d 664, 673 (4th Cir. 2018) (applying the doctrine’s scope broadly and assessing whether a challenged statute could potentially subject companies to inconsistent regulations), </w:t>
      </w:r>
      <w:r w:rsidRPr="00B22770">
        <w:rPr>
          <w:rFonts w:ascii="Times New Roman" w:eastAsia="Times New Roman" w:hAnsi="Times New Roman" w:cs="Times New Roman"/>
          <w:sz w:val="24"/>
          <w:szCs w:val="24"/>
          <w:u w:val="single"/>
        </w:rPr>
        <w:t>with</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Dean Foods</w:t>
      </w:r>
      <w:r w:rsidRPr="00B22770">
        <w:rPr>
          <w:rFonts w:ascii="Times New Roman" w:eastAsia="Times New Roman" w:hAnsi="Times New Roman" w:cs="Times New Roman"/>
          <w:sz w:val="24"/>
          <w:szCs w:val="24"/>
        </w:rPr>
        <w:t>, 187 F.3d at 616 (adopting a narrower approach and only considering whether the statutes would have the practical effect of regulating out-of-state commerce).</w:t>
      </w:r>
    </w:p>
    <w:p w14:paraId="000000FC" w14:textId="77777777" w:rsidR="00F1592A" w:rsidRPr="00B22770" w:rsidRDefault="00711B04" w:rsidP="006B4516">
      <w:pPr>
        <w:spacing w:line="480" w:lineRule="auto"/>
        <w:ind w:firstLine="720"/>
        <w:rPr>
          <w:rFonts w:ascii="Times New Roman" w:eastAsia="Times New Roman" w:hAnsi="Times New Roman" w:cs="Times New Roman"/>
          <w:color w:val="000000"/>
          <w:sz w:val="24"/>
          <w:szCs w:val="24"/>
        </w:rPr>
      </w:pPr>
      <w:r w:rsidRPr="00B22770">
        <w:rPr>
          <w:rFonts w:ascii="Times New Roman" w:eastAsia="Times New Roman" w:hAnsi="Times New Roman" w:cs="Times New Roman"/>
          <w:sz w:val="24"/>
          <w:szCs w:val="24"/>
        </w:rPr>
        <w:t xml:space="preserve">Most Supreme Court cases evaluating state statutes under the extraterritoriality doctrine are associated with price affirmation or price control statutes.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Baldwin v. G.A.F. Seelig, Inc.</w:t>
      </w:r>
      <w:r w:rsidRPr="00B22770">
        <w:rPr>
          <w:rFonts w:ascii="Times New Roman" w:eastAsia="Times New Roman" w:hAnsi="Times New Roman" w:cs="Times New Roman"/>
          <w:sz w:val="24"/>
          <w:szCs w:val="24"/>
        </w:rPr>
        <w:t xml:space="preserve">, 294 U.S. 511, 519, 521-24 (1935); </w:t>
      </w:r>
      <w:r w:rsidRPr="00B22770">
        <w:rPr>
          <w:rFonts w:ascii="Times New Roman" w:eastAsia="Times New Roman" w:hAnsi="Times New Roman" w:cs="Times New Roman"/>
          <w:sz w:val="24"/>
          <w:szCs w:val="24"/>
          <w:u w:val="single"/>
        </w:rPr>
        <w:t>Brown-Forman Distillers Corp. v. N.Y. State Liquor Auth.</w:t>
      </w:r>
      <w:r w:rsidRPr="00B22770">
        <w:rPr>
          <w:rFonts w:ascii="Times New Roman" w:eastAsia="Times New Roman" w:hAnsi="Times New Roman" w:cs="Times New Roman"/>
          <w:sz w:val="24"/>
          <w:szCs w:val="24"/>
        </w:rPr>
        <w:t xml:space="preserve">, 476 U.S. 573, 579 (1986);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491 U.S. at 326, 334-38. Looking to the few cases where the Court has used the doctrine to address the constitutionality of state corporation statutes, variations in the holdings show that the doctrine has become unworkable and unclear. </w:t>
      </w:r>
      <w:r w:rsidRPr="00B22770">
        <w:rPr>
          <w:rFonts w:ascii="Times New Roman" w:eastAsia="Times New Roman" w:hAnsi="Times New Roman" w:cs="Times New Roman"/>
          <w:sz w:val="24"/>
          <w:szCs w:val="24"/>
          <w:u w:val="single"/>
        </w:rPr>
        <w:t>Compare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Edgar v. MITE Corp.</w:t>
      </w:r>
      <w:r w:rsidRPr="00B22770">
        <w:rPr>
          <w:rFonts w:ascii="Times New Roman" w:eastAsia="Times New Roman" w:hAnsi="Times New Roman" w:cs="Times New Roman"/>
          <w:sz w:val="24"/>
          <w:szCs w:val="24"/>
        </w:rPr>
        <w:t xml:space="preserve">, 457 U.S. 624, 642-43 (1982) (plurality opinion) (utilizing the extraterritoriality doctrine to invalidate a statute even though the statute was not a price affirmation or price control statute), </w:t>
      </w:r>
      <w:r w:rsidRPr="00B22770">
        <w:rPr>
          <w:rFonts w:ascii="Times New Roman" w:eastAsia="Times New Roman" w:hAnsi="Times New Roman" w:cs="Times New Roman"/>
          <w:sz w:val="24"/>
          <w:szCs w:val="24"/>
          <w:u w:val="single"/>
        </w:rPr>
        <w:t>with</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Pharm. Rsch. &amp; Mfrs. of Am. v. Walsh</w:t>
      </w:r>
      <w:r w:rsidRPr="00B22770">
        <w:rPr>
          <w:rFonts w:ascii="Times New Roman" w:eastAsia="Times New Roman" w:hAnsi="Times New Roman" w:cs="Times New Roman"/>
          <w:sz w:val="24"/>
          <w:szCs w:val="24"/>
        </w:rPr>
        <w:t>, 538 U.S. 644, 649 (2003) (rejecting the application of the extraterritoriality doctrine to invalidate Maine’s Medicaid rebate program because the program was not a price affirmation or price control statute).</w:t>
      </w:r>
    </w:p>
    <w:p w14:paraId="000000FD" w14:textId="77777777" w:rsidR="00F1592A" w:rsidRPr="00B22770" w:rsidRDefault="00711B04" w:rsidP="006B4516">
      <w:pPr>
        <w:pStyle w:val="Heading4"/>
        <w:numPr>
          <w:ilvl w:val="0"/>
          <w:numId w:val="19"/>
        </w:numPr>
        <w:spacing w:line="240" w:lineRule="auto"/>
        <w:rPr>
          <w:rFonts w:ascii="Times New Roman" w:eastAsia="Times New Roman" w:hAnsi="Times New Roman" w:cs="Times New Roman"/>
        </w:rPr>
      </w:pPr>
      <w:bookmarkStart w:id="26" w:name="_7s9wfr4m4df7" w:colFirst="0" w:colLast="0"/>
      <w:bookmarkEnd w:id="26"/>
      <w:r w:rsidRPr="00B22770">
        <w:rPr>
          <w:rFonts w:ascii="Times New Roman" w:eastAsia="Times New Roman" w:hAnsi="Times New Roman" w:cs="Times New Roman"/>
          <w:color w:val="000000"/>
        </w:rPr>
        <w:t>Developments in related law have made the extraterritoriality doctrine outdated and unnecessary.</w:t>
      </w:r>
    </w:p>
    <w:p w14:paraId="000000FE" w14:textId="77777777" w:rsidR="00F1592A" w:rsidRPr="00B22770" w:rsidRDefault="00F1592A">
      <w:pPr>
        <w:ind w:left="2160"/>
        <w:rPr>
          <w:rFonts w:ascii="Times New Roman" w:hAnsi="Times New Roman" w:cs="Times New Roman"/>
          <w:sz w:val="24"/>
          <w:szCs w:val="24"/>
        </w:rPr>
      </w:pPr>
    </w:p>
    <w:p w14:paraId="000000FF"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Justice Thomas has stated that "precedent as unworkable as our negative Commerce Clause jurisprudence has become is simply not entitled to the weight of stare decisis." </w:t>
      </w:r>
      <w:r w:rsidRPr="00B22770">
        <w:rPr>
          <w:rFonts w:ascii="Times New Roman" w:eastAsia="Times New Roman" w:hAnsi="Times New Roman" w:cs="Times New Roman"/>
          <w:sz w:val="24"/>
          <w:szCs w:val="24"/>
          <w:u w:val="single"/>
        </w:rPr>
        <w:t>Camps Newfound/Owatonna, Inc. v. Town of Harrison</w:t>
      </w:r>
      <w:r w:rsidRPr="00B22770">
        <w:rPr>
          <w:rFonts w:ascii="Times New Roman" w:eastAsia="Times New Roman" w:hAnsi="Times New Roman" w:cs="Times New Roman"/>
          <w:sz w:val="24"/>
          <w:szCs w:val="24"/>
        </w:rPr>
        <w:t xml:space="preserve">, 520 U.S. 564, 636 (1997) (Thomas, J., dissenting). In a landmark case that declared a long-standing precedent to be unconstitutional, the Court found that, while stare decisis helps with stability of the law, it does not compel the Court to follow a past decision when the rationale no longer “withstand[s] careful analysis." </w:t>
      </w:r>
      <w:r w:rsidRPr="00B22770">
        <w:rPr>
          <w:rFonts w:ascii="Times New Roman" w:eastAsia="Times New Roman" w:hAnsi="Times New Roman" w:cs="Times New Roman"/>
          <w:sz w:val="24"/>
          <w:szCs w:val="24"/>
          <w:u w:val="single"/>
        </w:rPr>
        <w:t>Lawrence v. Texas</w:t>
      </w:r>
      <w:r w:rsidRPr="00B22770">
        <w:rPr>
          <w:rFonts w:ascii="Times New Roman" w:eastAsia="Times New Roman" w:hAnsi="Times New Roman" w:cs="Times New Roman"/>
          <w:sz w:val="24"/>
          <w:szCs w:val="24"/>
        </w:rPr>
        <w:t xml:space="preserve">, 539 U. S. 558, 577 (2003). Justice Scalia has argued in many of his dissents that the Constitution does not contain a negative commerce clause nor is it plainly required by the Court’s prior decisions, and that “uncertainty in application has been attributable in no small part to the lack of any clear theoretical underpinning for judicial ‘enforcement’ of the Commerce Clause.” </w:t>
      </w:r>
      <w:r w:rsidRPr="00B22770">
        <w:rPr>
          <w:rFonts w:ascii="Times New Roman" w:eastAsia="Times New Roman" w:hAnsi="Times New Roman" w:cs="Times New Roman"/>
          <w:sz w:val="24"/>
          <w:szCs w:val="24"/>
          <w:u w:val="single"/>
        </w:rPr>
        <w:t>Tyler Pipe Indus. v. Washington State Dep’t of Revenue</w:t>
      </w:r>
      <w:r w:rsidRPr="00B22770">
        <w:rPr>
          <w:rFonts w:ascii="Times New Roman" w:eastAsia="Times New Roman" w:hAnsi="Times New Roman" w:cs="Times New Roman"/>
          <w:sz w:val="24"/>
          <w:szCs w:val="24"/>
        </w:rPr>
        <w:t xml:space="preserve">, 483 U.S. 232, 260 (1987) (Scalia, J., dissenting) (arguing that discrimination against citizens of other states should be regulated by the Privileges and Immunities Clause of the Constitution, not the Commerce Clause);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Comptroller of the Treasury v. Wynne</w:t>
      </w:r>
      <w:r w:rsidRPr="00B22770">
        <w:rPr>
          <w:rFonts w:ascii="Times New Roman" w:eastAsia="Times New Roman" w:hAnsi="Times New Roman" w:cs="Times New Roman"/>
          <w:sz w:val="24"/>
          <w:szCs w:val="24"/>
        </w:rPr>
        <w:t>, 135 S. Ct. 1787, 1807-08 (2015) (Scalia, J., dissenting) (calling the extraterritoriality doctrine a “judge-invented rule” that is a “judicial fraud”).</w:t>
      </w:r>
    </w:p>
    <w:p w14:paraId="00000100"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This Court should overturn the extraterritoriality doctrine and instead rely on developments in related principles of law and the growth of other judicial doctrine. The doctrine is redundant because most state statutes invalidated under it would also be invalidated under other dormant Commerce Clause principles.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491 U.S. at 326. In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this Court invalidated a state price affirmation statute because it discriminated against out-of-state commerce and because it violated the extraterritoriality doctrine.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This Court noted that the statute in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would have been invalidated under the first prong of the dormant Commerce Clause alone; application of the extraterritoriality doctrine was not necessary.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Brown-Forman</w:t>
      </w:r>
      <w:r w:rsidRPr="00B22770">
        <w:rPr>
          <w:rFonts w:ascii="Times New Roman" w:eastAsia="Times New Roman" w:hAnsi="Times New Roman" w:cs="Times New Roman"/>
          <w:sz w:val="24"/>
          <w:szCs w:val="24"/>
        </w:rPr>
        <w:t xml:space="preserve">, 476 U.S. at 579 (finding that, under the first prong of the dormant Commerce Clause, state regulations that facially discriminate against or have a discriminatory effect on out-of-state commerce are unconstitutional). Additionally,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serves to invalidate any other state regulations that may not discriminate against wholly out-of-state commerce but could potentially be improperly burdensome to interstate commerce. 397 U.S. at 142.</w:t>
      </w:r>
    </w:p>
    <w:p w14:paraId="00000102" w14:textId="14F0D9E8" w:rsidR="00F1592A" w:rsidRPr="006B4516" w:rsidRDefault="00711B04" w:rsidP="006B4516">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This Court has held that precedence should not be adhered to in the name of stare decisis once it has proved to be unworkable, unclear, and impractical. While grounded in the Constitution’s grant of power over interstate commerce, the extraterritoriality doctrine is a judge-made rule that should be overturned because it is no longer useful or necessary. This Court should overturn the extraterritoriality doctrine and not apply it in this or future cases.</w:t>
      </w:r>
    </w:p>
    <w:p w14:paraId="00000103" w14:textId="77777777" w:rsidR="00F1592A" w:rsidRPr="00B22770" w:rsidRDefault="00711B04">
      <w:pPr>
        <w:pStyle w:val="Heading3"/>
        <w:numPr>
          <w:ilvl w:val="0"/>
          <w:numId w:val="14"/>
        </w:numPr>
        <w:spacing w:line="240" w:lineRule="auto"/>
        <w:rPr>
          <w:rFonts w:ascii="Times New Roman" w:hAnsi="Times New Roman" w:cs="Times New Roman"/>
          <w:sz w:val="24"/>
          <w:szCs w:val="24"/>
        </w:rPr>
      </w:pPr>
      <w:bookmarkStart w:id="27" w:name="_nd2bj8osuwl" w:colFirst="0" w:colLast="0"/>
      <w:bookmarkEnd w:id="27"/>
      <w:r w:rsidRPr="00B22770">
        <w:rPr>
          <w:rFonts w:ascii="Times New Roman" w:eastAsia="Times New Roman" w:hAnsi="Times New Roman" w:cs="Times New Roman"/>
          <w:color w:val="000000"/>
          <w:sz w:val="24"/>
          <w:szCs w:val="24"/>
          <w:u w:val="single"/>
        </w:rPr>
        <w:t>The Act is valid under the extraterritoriality doctrine of the dormant Commerce Clause because it affects both in and out-of-state commerce, putting it outside the doctrine’s scope.</w:t>
      </w:r>
    </w:p>
    <w:p w14:paraId="00000104" w14:textId="77777777" w:rsidR="00F1592A" w:rsidRPr="00B22770" w:rsidRDefault="00F1592A">
      <w:pPr>
        <w:spacing w:line="240" w:lineRule="auto"/>
        <w:rPr>
          <w:rFonts w:ascii="Times New Roman" w:eastAsia="Times New Roman" w:hAnsi="Times New Roman" w:cs="Times New Roman"/>
          <w:sz w:val="24"/>
          <w:szCs w:val="24"/>
          <w:u w:val="single"/>
        </w:rPr>
      </w:pPr>
    </w:p>
    <w:p w14:paraId="00000105"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Regardless of whether this Court decides to overturn the precedent of the extraterritoriality doctrine, the Act is not violative of the dormant Commerce Clause. The doctrine only applies to statutes that regulate wholly out-of-state commerce, not to statutes that only have indirect effects.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491 U.S. at 336. A broad approach examines the potential effects of a state’s regulation on wholly out-of-state conduct, and a narrow approach considers only whether a state statute has the practical effect of regulating wholly out-of-state commerce. </w:t>
      </w:r>
      <w:r w:rsidRPr="00B22770">
        <w:rPr>
          <w:rFonts w:ascii="Times New Roman" w:eastAsia="Times New Roman" w:hAnsi="Times New Roman" w:cs="Times New Roman"/>
          <w:sz w:val="24"/>
          <w:szCs w:val="24"/>
          <w:u w:val="single"/>
        </w:rPr>
        <w:t>See, e.g.</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Frosh</w:t>
      </w:r>
      <w:r w:rsidRPr="00B22770">
        <w:rPr>
          <w:rFonts w:ascii="Times New Roman" w:eastAsia="Times New Roman" w:hAnsi="Times New Roman" w:cs="Times New Roman"/>
          <w:sz w:val="24"/>
          <w:szCs w:val="24"/>
        </w:rPr>
        <w:t xml:space="preserve">, 887 F.3d at 673; </w:t>
      </w:r>
      <w:r w:rsidRPr="00B22770">
        <w:rPr>
          <w:rFonts w:ascii="Times New Roman" w:eastAsia="Times New Roman" w:hAnsi="Times New Roman" w:cs="Times New Roman"/>
          <w:sz w:val="24"/>
          <w:szCs w:val="24"/>
          <w:u w:val="single"/>
        </w:rPr>
        <w:t>Dean Foods</w:t>
      </w:r>
      <w:r w:rsidRPr="00B22770">
        <w:rPr>
          <w:rFonts w:ascii="Times New Roman" w:eastAsia="Times New Roman" w:hAnsi="Times New Roman" w:cs="Times New Roman"/>
          <w:sz w:val="24"/>
          <w:szCs w:val="24"/>
        </w:rPr>
        <w:t>, 187 F.3d at 616. This Court should adopt the narrow approach and find the doctrine only applies if a statute directly regulates wholly out-of-state commerce, not when it only has indirect effects.</w:t>
      </w:r>
    </w:p>
    <w:p w14:paraId="00000106"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Moreover, even if the Court chooses a broad approach and finds that the Act is within the doctrine’s scope, the Act is still constitutional under the Commerce Clause. The extraterritoriality doctrine only applies if the Act regulates wholly out-of-state commerce; the Constitution does not guarantee freedom from the effects of state regulations for companies choosing to participate in interstate commerce.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Dean Foods</w:t>
      </w:r>
      <w:r w:rsidRPr="00B22770">
        <w:rPr>
          <w:rFonts w:ascii="Times New Roman" w:eastAsia="Times New Roman" w:hAnsi="Times New Roman" w:cs="Times New Roman"/>
          <w:sz w:val="24"/>
          <w:szCs w:val="24"/>
        </w:rPr>
        <w:t>, 187 F.3d at 616. Given that the Act affects both in-state and out-of-state activities, mere exposure to inconsistent regulations should not be reason enough for this Court to strike down the Act.</w:t>
      </w:r>
    </w:p>
    <w:p w14:paraId="00000107" w14:textId="7BCDAD20"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Lastly, even if this Court determines that the Act regulates wholly out-of-state commerce,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would be the correct tool for analysis.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test, any burdens the Act imposes on out-of-state commerce must not be clearly excessive in comparison to the local benefits.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397 U.S. at 142. The Act is still constitutional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because its regulation is not unduly burdensome to interstate commerce. </w:t>
      </w:r>
      <w:r w:rsidRPr="00B22770">
        <w:rPr>
          <w:rFonts w:ascii="Times New Roman" w:eastAsia="Times New Roman" w:hAnsi="Times New Roman" w:cs="Times New Roman"/>
          <w:sz w:val="24"/>
          <w:szCs w:val="24"/>
          <w:u w:val="single"/>
        </w:rPr>
        <w:t>Id</w:t>
      </w:r>
      <w:r w:rsidR="006B4516">
        <w:rPr>
          <w:rFonts w:ascii="Times New Roman" w:eastAsia="Times New Roman" w:hAnsi="Times New Roman" w:cs="Times New Roman"/>
          <w:sz w:val="24"/>
          <w:szCs w:val="24"/>
          <w:u w:val="single"/>
        </w:rPr>
        <w:t>.</w:t>
      </w:r>
    </w:p>
    <w:p w14:paraId="00000108" w14:textId="77777777" w:rsidR="00F1592A" w:rsidRPr="00B22770" w:rsidRDefault="00711B04">
      <w:pPr>
        <w:pStyle w:val="Heading4"/>
        <w:numPr>
          <w:ilvl w:val="0"/>
          <w:numId w:val="3"/>
        </w:numPr>
        <w:spacing w:line="240" w:lineRule="auto"/>
        <w:rPr>
          <w:rFonts w:ascii="Times New Roman" w:eastAsia="Times New Roman" w:hAnsi="Times New Roman" w:cs="Times New Roman"/>
          <w:color w:val="000000"/>
        </w:rPr>
      </w:pPr>
      <w:bookmarkStart w:id="28" w:name="_ygflxdusdadr" w:colFirst="0" w:colLast="0"/>
      <w:bookmarkEnd w:id="28"/>
      <w:r w:rsidRPr="00B22770">
        <w:rPr>
          <w:rFonts w:ascii="Times New Roman" w:eastAsia="Times New Roman" w:hAnsi="Times New Roman" w:cs="Times New Roman"/>
          <w:color w:val="000000"/>
        </w:rPr>
        <w:t>Under a narrow approach, the Act is outside of the scope of the extraterritoriality doctrine and does not violate the dormant Commerce Clause.</w:t>
      </w:r>
    </w:p>
    <w:p w14:paraId="00000109" w14:textId="77777777" w:rsidR="00F1592A" w:rsidRPr="00B22770" w:rsidRDefault="00F1592A">
      <w:pPr>
        <w:spacing w:line="240" w:lineRule="auto"/>
        <w:rPr>
          <w:rFonts w:ascii="Times New Roman" w:eastAsia="Times New Roman" w:hAnsi="Times New Roman" w:cs="Times New Roman"/>
          <w:sz w:val="24"/>
          <w:szCs w:val="24"/>
        </w:rPr>
      </w:pPr>
    </w:p>
    <w:p w14:paraId="0000010A" w14:textId="77777777" w:rsidR="00F1592A" w:rsidRPr="00B22770" w:rsidRDefault="00711B04">
      <w:pPr>
        <w:spacing w:line="48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rPr>
        <w:tab/>
        <w:t xml:space="preserve">The extraterritoriality doctrine “precludes the application of a state statute to commerce that takes place wholly outside of the State’s borders, whether or not the commerce has effects within the State.” </w:t>
      </w:r>
      <w:r w:rsidRPr="00B22770">
        <w:rPr>
          <w:rFonts w:ascii="Times New Roman" w:eastAsia="Times New Roman" w:hAnsi="Times New Roman" w:cs="Times New Roman"/>
          <w:sz w:val="24"/>
          <w:szCs w:val="24"/>
          <w:u w:val="single"/>
        </w:rPr>
        <w:t>MITE Corp.</w:t>
      </w:r>
      <w:r w:rsidRPr="00B22770">
        <w:rPr>
          <w:rFonts w:ascii="Times New Roman" w:eastAsia="Times New Roman" w:hAnsi="Times New Roman" w:cs="Times New Roman"/>
          <w:sz w:val="24"/>
          <w:szCs w:val="24"/>
        </w:rPr>
        <w:t xml:space="preserve">, 457 U.S. at 642-43. The doctrine is only meant to prohibit any direct regulation of interstate commerce by the states.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at 639. Incidental</w:t>
      </w:r>
      <w:r w:rsidRPr="00B22770">
        <w:rPr>
          <w:rFonts w:ascii="Times New Roman" w:eastAsia="Times New Roman" w:hAnsi="Times New Roman" w:cs="Times New Roman"/>
          <w:i/>
          <w:sz w:val="24"/>
          <w:szCs w:val="24"/>
        </w:rPr>
        <w:t xml:space="preserve"> </w:t>
      </w:r>
      <w:r w:rsidRPr="00B22770">
        <w:rPr>
          <w:rFonts w:ascii="Times New Roman" w:eastAsia="Times New Roman" w:hAnsi="Times New Roman" w:cs="Times New Roman"/>
          <w:sz w:val="24"/>
          <w:szCs w:val="24"/>
        </w:rPr>
        <w:t xml:space="preserve">regulation of interstate commerce is permitted. </w:t>
      </w:r>
      <w:r w:rsidRPr="00B22770">
        <w:rPr>
          <w:rFonts w:ascii="Times New Roman" w:eastAsia="Times New Roman" w:hAnsi="Times New Roman" w:cs="Times New Roman"/>
          <w:sz w:val="24"/>
          <w:szCs w:val="24"/>
          <w:u w:val="single"/>
        </w:rPr>
        <w:t>Compare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at 624 (invalidating an Illinois antitakeover statute because it directly regulated transactions occurring outside the border), </w:t>
      </w:r>
      <w:r w:rsidRPr="00B22770">
        <w:rPr>
          <w:rFonts w:ascii="Times New Roman" w:eastAsia="Times New Roman" w:hAnsi="Times New Roman" w:cs="Times New Roman"/>
          <w:sz w:val="24"/>
          <w:szCs w:val="24"/>
          <w:u w:val="single"/>
        </w:rPr>
        <w:t>with</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CTS Corp.</w:t>
      </w:r>
      <w:r w:rsidRPr="00B22770">
        <w:rPr>
          <w:rFonts w:ascii="Times New Roman" w:eastAsia="Times New Roman" w:hAnsi="Times New Roman" w:cs="Times New Roman"/>
          <w:sz w:val="24"/>
          <w:szCs w:val="24"/>
        </w:rPr>
        <w:t>, 481 U.S. at 87 (upholding an Indiana antitakeover statute because the mere fact that a state regulation may discriminate against some interstate companies does not mean the regulation directly affects only out-of-state commerce).</w:t>
      </w:r>
    </w:p>
    <w:p w14:paraId="0000010B"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Most cases that apply the extraterritoriality doctrine have been associated with price affirmation or price controls statutes. The doctrine’s limited application to state regulatory corporate law creates an unclear standard of review for the lower federal courts to apply. Circuits are split on how to determine whether a statute regulates wholly out-of-state commerce and would benefit from clarifying guidance by this Court. Because a clear test has not yet been provided, this Court should take this opportunity to bring coherence to dormant Commerce Clause jurisprudence by clarifying the scope of its prior decisions. This Court should revisit its holding in </w:t>
      </w:r>
      <w:r w:rsidRPr="00B22770">
        <w:rPr>
          <w:rFonts w:ascii="Times New Roman" w:eastAsia="Times New Roman" w:hAnsi="Times New Roman" w:cs="Times New Roman"/>
          <w:sz w:val="24"/>
          <w:szCs w:val="24"/>
          <w:u w:val="single"/>
        </w:rPr>
        <w:t>Walsh</w:t>
      </w:r>
      <w:r w:rsidRPr="00B22770">
        <w:rPr>
          <w:rFonts w:ascii="Times New Roman" w:eastAsia="Times New Roman" w:hAnsi="Times New Roman" w:cs="Times New Roman"/>
          <w:sz w:val="24"/>
          <w:szCs w:val="24"/>
        </w:rPr>
        <w:t xml:space="preserve"> and find that the scope of the doctrine should be narrowed to only preclude state statutes that explicitly or practically violate the dormant Commerce Clause. 538 U.S. at 649 (upholding Maine’s Medicaid rebate program against claims that it violated the extraterritoriality doctrine because neither its express term nor its inevitable effects discriminated against interstate commerce). Alternatively, this Court should look to the approaches of the First or Tenth Circuits to find that the Act is outside the doctrine’s scope.</w:t>
      </w:r>
    </w:p>
    <w:p w14:paraId="0000010C"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 broad approach, such as the one adopted by the Fourth Circuit, considers a state statute’s potential effects on wholly out-of-state conduct and whether it would subject corporations to inconsistent regulations.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e.g.</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Frosh</w:t>
      </w:r>
      <w:r w:rsidRPr="00B22770">
        <w:rPr>
          <w:rFonts w:ascii="Times New Roman" w:eastAsia="Times New Roman" w:hAnsi="Times New Roman" w:cs="Times New Roman"/>
          <w:sz w:val="24"/>
          <w:szCs w:val="24"/>
        </w:rPr>
        <w:t xml:space="preserve">, 887 F.3d at 673. However, the Fourth Circuit fails to consider that the Commerce Clause serves to protect the interstate market as a whole, not particular interstate firms, from potential burdensome regulations. </w:t>
      </w:r>
      <w:r w:rsidRPr="00B22770">
        <w:rPr>
          <w:rFonts w:ascii="Times New Roman" w:eastAsia="Times New Roman" w:hAnsi="Times New Roman" w:cs="Times New Roman"/>
          <w:sz w:val="24"/>
          <w:szCs w:val="24"/>
          <w:u w:val="single"/>
        </w:rPr>
        <w:t>Exxon Corp.</w:t>
      </w:r>
      <w:r w:rsidRPr="00B22770">
        <w:rPr>
          <w:rFonts w:ascii="Times New Roman" w:eastAsia="Times New Roman" w:hAnsi="Times New Roman" w:cs="Times New Roman"/>
          <w:sz w:val="24"/>
          <w:szCs w:val="24"/>
        </w:rPr>
        <w:t xml:space="preserve">, 437 U.S. at 127 (affirming Maryland’s use of a price control statute, and disallowing an argument against the statute that related to its wisdom, not its burden on interstate commerce, because inconvenience to a corporation is irrelevant to a statute’s constitutionality);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Hughes v. Alexandria Scrap Corp.</w:t>
      </w:r>
      <w:r w:rsidRPr="00B22770">
        <w:rPr>
          <w:rFonts w:ascii="Times New Roman" w:eastAsia="Times New Roman" w:hAnsi="Times New Roman" w:cs="Times New Roman"/>
          <w:sz w:val="24"/>
          <w:szCs w:val="24"/>
        </w:rPr>
        <w:t>, 426 U.S. 794, 810 (1976) (holding that nothing in the Commerce Clause prohibits a state from favoring its own citizens and that, because the practical effect of a Maryland price control statute was to benefit and protect the state, the statute was allowed to create inconsistent regulations that favored its citizens).</w:t>
      </w:r>
    </w:p>
    <w:p w14:paraId="0000010D"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A narrower approach considers only the practical effects of regulating wholly out-of-state commerce. The doctrine seeks to protect out-of-state corporations from “regulatory measures designed to benefit in-state economic interests by burdening out-of-state competitors.” </w:t>
      </w:r>
      <w:r w:rsidRPr="00B22770">
        <w:rPr>
          <w:rFonts w:ascii="Times New Roman" w:eastAsia="Times New Roman" w:hAnsi="Times New Roman" w:cs="Times New Roman"/>
          <w:sz w:val="24"/>
          <w:szCs w:val="24"/>
          <w:u w:val="single"/>
        </w:rPr>
        <w:t>New Energy Co.</w:t>
      </w:r>
      <w:r w:rsidRPr="00B22770">
        <w:rPr>
          <w:rFonts w:ascii="Times New Roman" w:eastAsia="Times New Roman" w:hAnsi="Times New Roman" w:cs="Times New Roman"/>
          <w:sz w:val="24"/>
          <w:szCs w:val="24"/>
        </w:rPr>
        <w:t xml:space="preserve">, 486 U.S. at 271. The First Circuit concluded that the goal of the dormant Commerce Clause is preventing economic protectionism, not enforcing geographical limits of state powers necessary to regulate commerce. </w:t>
      </w:r>
      <w:r w:rsidRPr="00B22770">
        <w:rPr>
          <w:rFonts w:ascii="Times New Roman" w:eastAsia="Times New Roman" w:hAnsi="Times New Roman" w:cs="Times New Roman"/>
          <w:sz w:val="24"/>
          <w:szCs w:val="24"/>
          <w:u w:val="single"/>
        </w:rPr>
        <w:t>See, e.g.</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IMS Health Inc. v. Mills</w:t>
      </w:r>
      <w:r w:rsidRPr="00B22770">
        <w:rPr>
          <w:rFonts w:ascii="Times New Roman" w:eastAsia="Times New Roman" w:hAnsi="Times New Roman" w:cs="Times New Roman"/>
          <w:sz w:val="24"/>
          <w:szCs w:val="24"/>
        </w:rPr>
        <w:t xml:space="preserve">, 616 F.3d 7, 30-31 (1st Cir. 2010), </w:t>
      </w:r>
      <w:r w:rsidRPr="00B22770">
        <w:rPr>
          <w:rFonts w:ascii="Times New Roman" w:eastAsia="Times New Roman" w:hAnsi="Times New Roman" w:cs="Times New Roman"/>
          <w:sz w:val="24"/>
          <w:szCs w:val="24"/>
          <w:u w:val="single"/>
        </w:rPr>
        <w:t>vacated on other grounds sub nom.</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IMS Health v. Schneider</w:t>
      </w:r>
      <w:r w:rsidRPr="00B22770">
        <w:rPr>
          <w:rFonts w:ascii="Times New Roman" w:eastAsia="Times New Roman" w:hAnsi="Times New Roman" w:cs="Times New Roman"/>
          <w:sz w:val="24"/>
          <w:szCs w:val="24"/>
        </w:rPr>
        <w:t xml:space="preserve">, 564 U.S. 1051 (2011). The First Circuit further asserted that “the Supreme Court has not barred states from regulating any commercial transactions beyond their borders that involve their own citizens and create in-state harms.”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Dep't of Revenue of Ky. v. Davis</w:t>
      </w:r>
      <w:r w:rsidRPr="00B22770">
        <w:rPr>
          <w:rFonts w:ascii="Times New Roman" w:eastAsia="Times New Roman" w:hAnsi="Times New Roman" w:cs="Times New Roman"/>
          <w:sz w:val="24"/>
          <w:szCs w:val="24"/>
        </w:rPr>
        <w:t>, 553 U.S. 328, 338 (2008) ("The essence of our federal system is that within the realm of authority left open to them under the Constitution, the States must be equally free to engage in any activity that their citizens choose for the common weal.”).</w:t>
      </w:r>
    </w:p>
    <w:p w14:paraId="0000010E"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The Tenth Circuit takes an even narrower approach to find that the doctrine should only be applied to price affirmation and control statutes. </w:t>
      </w:r>
      <w:r w:rsidRPr="00B22770">
        <w:rPr>
          <w:rFonts w:ascii="Times New Roman" w:eastAsia="Times New Roman" w:hAnsi="Times New Roman" w:cs="Times New Roman"/>
          <w:sz w:val="24"/>
          <w:szCs w:val="24"/>
          <w:u w:val="single"/>
        </w:rPr>
        <w:t>Energy &amp; Env’t Inst. v. Epel</w:t>
      </w:r>
      <w:r w:rsidRPr="00B22770">
        <w:rPr>
          <w:rFonts w:ascii="Times New Roman" w:eastAsia="Times New Roman" w:hAnsi="Times New Roman" w:cs="Times New Roman"/>
          <w:sz w:val="24"/>
          <w:szCs w:val="24"/>
        </w:rPr>
        <w:t xml:space="preserve">, 793 F.3d 1169, 1173 (10th Cir. 2015). It adopts the position in </w:t>
      </w:r>
      <w:r w:rsidRPr="00B22770">
        <w:rPr>
          <w:rFonts w:ascii="Times New Roman" w:eastAsia="Times New Roman" w:hAnsi="Times New Roman" w:cs="Times New Roman"/>
          <w:sz w:val="24"/>
          <w:szCs w:val="24"/>
          <w:u w:val="single"/>
        </w:rPr>
        <w:t>Baldwin</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Brown-Forman</w:t>
      </w:r>
      <w:r w:rsidRPr="00B22770">
        <w:rPr>
          <w:rFonts w:ascii="Times New Roman" w:eastAsia="Times New Roman" w:hAnsi="Times New Roman" w:cs="Times New Roman"/>
          <w:sz w:val="24"/>
          <w:szCs w:val="24"/>
        </w:rPr>
        <w:t xml:space="preserve">, and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that the “critical inquiry is whether the practical effect of the regulation is to control conduct beyond the boundaries of the State.”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491 U.S. at 336.</w:t>
      </w:r>
    </w:p>
    <w:p w14:paraId="0000010F"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Here, the Act concerns precisely the kind of traditional state concerns that the Supreme Court has held fall outside the reach of the dormant Commerce Clause.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IMS Health</w:t>
      </w:r>
      <w:r w:rsidRPr="00B22770">
        <w:rPr>
          <w:rFonts w:ascii="Times New Roman" w:eastAsia="Times New Roman" w:hAnsi="Times New Roman" w:cs="Times New Roman"/>
          <w:sz w:val="24"/>
          <w:szCs w:val="24"/>
        </w:rPr>
        <w:t xml:space="preserve"> 616 F.3d at 30-31; </w:t>
      </w:r>
      <w:r w:rsidRPr="00B22770">
        <w:rPr>
          <w:rFonts w:ascii="Times New Roman" w:eastAsia="Times New Roman" w:hAnsi="Times New Roman" w:cs="Times New Roman"/>
          <w:sz w:val="24"/>
          <w:szCs w:val="24"/>
          <w:u w:val="single"/>
        </w:rPr>
        <w:t>Davis</w:t>
      </w:r>
      <w:r w:rsidRPr="00B22770">
        <w:rPr>
          <w:rFonts w:ascii="Times New Roman" w:eastAsia="Times New Roman" w:hAnsi="Times New Roman" w:cs="Times New Roman"/>
          <w:sz w:val="24"/>
          <w:szCs w:val="24"/>
        </w:rPr>
        <w:t xml:space="preserve">, 553 U.S. at 342. Appellees concede that the Act does not violate the doctrine under either the First or Tenth Circuit narrow approaches because either way the Act falls outside the doctrine’s scope. [R. 16]. The Act does not affect price and it is not economic protectionism.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B-2. The Act does not burden out-of-state competitors but allows the State of Albers to act on its constitutional right and duty to protect its citizens.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In short, it does not aim to micromanage the boards of directors of any corporation; the Act simply aims for gender parity by regulating a policy that creates harms both in and out-of-state.</w:t>
      </w:r>
    </w:p>
    <w:p w14:paraId="00000111" w14:textId="3463DF18" w:rsidR="00F1592A" w:rsidRPr="00B22770" w:rsidRDefault="00711B04" w:rsidP="006B4516">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The doctrine is not an all-purpose deregulatory tool for companies to use to avoid regulations they would rather not follow by claiming said regulations violate the Commerce Clause. This Court should adopt a narrow approach and only apply the extraterritoriality doctrine to state statutes that have the practical effect of projecting their legislation onto other states.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Baldwin</w:t>
      </w:r>
      <w:r w:rsidRPr="00B22770">
        <w:rPr>
          <w:rFonts w:ascii="Times New Roman" w:eastAsia="Times New Roman" w:hAnsi="Times New Roman" w:cs="Times New Roman"/>
          <w:sz w:val="24"/>
          <w:szCs w:val="24"/>
        </w:rPr>
        <w:t>, 294 U.S. at 521.</w:t>
      </w:r>
    </w:p>
    <w:p w14:paraId="00000112" w14:textId="77777777" w:rsidR="00F1592A" w:rsidRPr="00B22770" w:rsidRDefault="00711B04">
      <w:pPr>
        <w:pStyle w:val="Heading4"/>
        <w:numPr>
          <w:ilvl w:val="0"/>
          <w:numId w:val="3"/>
        </w:numPr>
        <w:rPr>
          <w:rFonts w:ascii="Times New Roman" w:eastAsia="Times New Roman" w:hAnsi="Times New Roman" w:cs="Times New Roman"/>
          <w:color w:val="000000"/>
        </w:rPr>
      </w:pPr>
      <w:bookmarkStart w:id="29" w:name="_e0v3ycxsqu5e" w:colFirst="0" w:colLast="0"/>
      <w:bookmarkEnd w:id="29"/>
      <w:r w:rsidRPr="00B22770">
        <w:rPr>
          <w:rFonts w:ascii="Times New Roman" w:eastAsia="Times New Roman" w:hAnsi="Times New Roman" w:cs="Times New Roman"/>
          <w:color w:val="000000"/>
        </w:rPr>
        <w:t>Because the Act regulates both in and out-of-state activities, the Act is outside the doctrine’s scope and it is not precluded by the doctrine’s ban on statutes regulating wholly out-of-state commerce.</w:t>
      </w:r>
    </w:p>
    <w:p w14:paraId="00000113" w14:textId="77777777" w:rsidR="00F1592A" w:rsidRPr="00B22770" w:rsidRDefault="00F1592A">
      <w:pPr>
        <w:ind w:left="2160"/>
        <w:rPr>
          <w:rFonts w:ascii="Times New Roman" w:hAnsi="Times New Roman" w:cs="Times New Roman"/>
          <w:sz w:val="24"/>
          <w:szCs w:val="24"/>
        </w:rPr>
      </w:pPr>
    </w:p>
    <w:p w14:paraId="00000114" w14:textId="77777777" w:rsidR="00F1592A" w:rsidRPr="00B22770" w:rsidRDefault="00711B04">
      <w:pPr>
        <w:spacing w:line="480" w:lineRule="auto"/>
        <w:ind w:firstLine="720"/>
        <w:rPr>
          <w:rFonts w:ascii="Times New Roman" w:eastAsia="Times New Roman" w:hAnsi="Times New Roman" w:cs="Times New Roman"/>
          <w:sz w:val="24"/>
          <w:szCs w:val="24"/>
          <w:u w:val="single"/>
        </w:rPr>
      </w:pPr>
      <w:r w:rsidRPr="00B22770">
        <w:rPr>
          <w:rFonts w:ascii="Times New Roman" w:eastAsia="Times New Roman" w:hAnsi="Times New Roman" w:cs="Times New Roman"/>
          <w:sz w:val="24"/>
          <w:szCs w:val="24"/>
        </w:rPr>
        <w:t xml:space="preserve">For the Act to be evaluated under the doctrine, the Act would need to regulate commerce occurring wholly outside Alber’s borders. </w:t>
      </w:r>
      <w:r w:rsidRPr="00B22770">
        <w:rPr>
          <w:rFonts w:ascii="Times New Roman" w:eastAsia="Times New Roman" w:hAnsi="Times New Roman" w:cs="Times New Roman"/>
          <w:sz w:val="24"/>
          <w:szCs w:val="24"/>
          <w:u w:val="single"/>
        </w:rPr>
        <w:t>Healy</w:t>
      </w:r>
      <w:r w:rsidRPr="00B22770">
        <w:rPr>
          <w:rFonts w:ascii="Times New Roman" w:eastAsia="Times New Roman" w:hAnsi="Times New Roman" w:cs="Times New Roman"/>
          <w:sz w:val="24"/>
          <w:szCs w:val="24"/>
        </w:rPr>
        <w:t xml:space="preserve">, 491 U.S. at 336. When determining if control is wholly outside the state, “[t]he critical inquiry is whether the practical effect of the regulation is to control conduct beyond the boundaries of the State.”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The extraterritoriality doctrine is meant to control excessive variance of in-state commerce laws that would subject interstate companies to conflicting regulatory regimes.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at 336-37. But it is not the role of the Constitution to guarantee a uniform national regulatory scheme. </w:t>
      </w:r>
      <w:r w:rsidRPr="00B22770">
        <w:rPr>
          <w:rFonts w:ascii="Times New Roman" w:eastAsia="Times New Roman" w:hAnsi="Times New Roman" w:cs="Times New Roman"/>
          <w:sz w:val="24"/>
          <w:szCs w:val="24"/>
          <w:u w:val="single"/>
        </w:rPr>
        <w:t>Exxon Corp.</w:t>
      </w:r>
      <w:r w:rsidRPr="00B22770">
        <w:rPr>
          <w:rFonts w:ascii="Times New Roman" w:eastAsia="Times New Roman" w:hAnsi="Times New Roman" w:cs="Times New Roman"/>
          <w:sz w:val="24"/>
          <w:szCs w:val="24"/>
        </w:rPr>
        <w:t xml:space="preserve">, 437 U.S. at 127. A business choosing to perform interstate operations makes a conscientious choice that requires it to be prepared to conform with various and often conflicting state laws. Nowhere in the Commerce Clause does it imply that an enterprise should be granted special privileges just because it happens to operate across state lines. </w:t>
      </w:r>
      <w:r w:rsidRPr="00B22770">
        <w:rPr>
          <w:rFonts w:ascii="Times New Roman" w:eastAsia="Times New Roman" w:hAnsi="Times New Roman" w:cs="Times New Roman"/>
          <w:sz w:val="24"/>
          <w:szCs w:val="24"/>
          <w:u w:val="single"/>
        </w:rPr>
        <w:t>Id.</w:t>
      </w:r>
    </w:p>
    <w:p w14:paraId="00000115" w14:textId="77777777" w:rsidR="00F1592A" w:rsidRPr="00B22770" w:rsidRDefault="00711B04">
      <w:pPr>
        <w:spacing w:line="480" w:lineRule="auto"/>
        <w:ind w:firstLine="720"/>
        <w:rPr>
          <w:rFonts w:ascii="Times New Roman" w:eastAsia="Times New Roman" w:hAnsi="Times New Roman" w:cs="Times New Roman"/>
          <w:sz w:val="24"/>
          <w:szCs w:val="24"/>
          <w:u w:val="single"/>
        </w:rPr>
      </w:pPr>
      <w:r w:rsidRPr="00B22770">
        <w:rPr>
          <w:rFonts w:ascii="Times New Roman" w:eastAsia="Times New Roman" w:hAnsi="Times New Roman" w:cs="Times New Roman"/>
          <w:sz w:val="24"/>
          <w:szCs w:val="24"/>
        </w:rPr>
        <w:t xml:space="preserve">In </w:t>
      </w:r>
      <w:r w:rsidRPr="00B22770">
        <w:rPr>
          <w:rFonts w:ascii="Times New Roman" w:eastAsia="Times New Roman" w:hAnsi="Times New Roman" w:cs="Times New Roman"/>
          <w:sz w:val="24"/>
          <w:szCs w:val="24"/>
          <w:u w:val="single"/>
        </w:rPr>
        <w:t>CTS Corp</w:t>
      </w:r>
      <w:r w:rsidRPr="00B22770">
        <w:rPr>
          <w:rFonts w:ascii="Times New Roman" w:eastAsia="Times New Roman" w:hAnsi="Times New Roman" w:cs="Times New Roman"/>
          <w:sz w:val="24"/>
          <w:szCs w:val="24"/>
        </w:rPr>
        <w:t xml:space="preserve">., this Court acknowledged that every state has laws that regulate corporate governance and affect certain aspects of interstate commerce, especially those corporations with shareholders in many states. 481 U.S. at 94. In </w:t>
      </w:r>
      <w:r w:rsidRPr="00B22770">
        <w:rPr>
          <w:rFonts w:ascii="Times New Roman" w:eastAsia="Times New Roman" w:hAnsi="Times New Roman" w:cs="Times New Roman"/>
          <w:sz w:val="24"/>
          <w:szCs w:val="24"/>
          <w:u w:val="single"/>
        </w:rPr>
        <w:t>MITE Corp.</w:t>
      </w:r>
      <w:r w:rsidRPr="00B22770">
        <w:rPr>
          <w:rFonts w:ascii="Times New Roman" w:eastAsia="Times New Roman" w:hAnsi="Times New Roman" w:cs="Times New Roman"/>
          <w:sz w:val="24"/>
          <w:szCs w:val="24"/>
        </w:rPr>
        <w:t xml:space="preserve">, this Court struck down an Illinois antitakeover statute that was written in a way that could regulate takeovers that did not affect a single Illinois shareholder. 457 U.S. at 642. Here, Astoria owns 10.2% of GG stock and resides in Albers, as do other members of the Appellant shareholder class. [R. 2]. Arguing that the Act’s regulations are wholly out-of-state is tantamount to arguing that the rights and concerns of Astoria and other shareholders residing in the State of Albers are irrelevant to GG. Because the Act regulates both in and out-of-state commerce it is outside of the scope of the doctrine and the Act cannot be found unconstitutional under the doctrine. </w:t>
      </w:r>
    </w:p>
    <w:p w14:paraId="00000116" w14:textId="77777777" w:rsidR="00F1592A" w:rsidRPr="00B22770" w:rsidRDefault="00711B04">
      <w:pPr>
        <w:pStyle w:val="Heading4"/>
        <w:numPr>
          <w:ilvl w:val="0"/>
          <w:numId w:val="3"/>
        </w:numPr>
        <w:spacing w:line="240" w:lineRule="auto"/>
        <w:rPr>
          <w:rFonts w:ascii="Times New Roman" w:eastAsia="Times New Roman" w:hAnsi="Times New Roman" w:cs="Times New Roman"/>
          <w:color w:val="000000"/>
        </w:rPr>
      </w:pPr>
      <w:bookmarkStart w:id="30" w:name="_g3ceex2j6it5" w:colFirst="0" w:colLast="0"/>
      <w:bookmarkEnd w:id="30"/>
      <w:r w:rsidRPr="00B22770">
        <w:rPr>
          <w:rFonts w:ascii="Times New Roman" w:eastAsia="Times New Roman" w:hAnsi="Times New Roman" w:cs="Times New Roman"/>
          <w:color w:val="000000"/>
        </w:rPr>
        <w:t>The Act should not be evaluated under the extraterritoriality doctrine because any remaining concerns of inconsistent state regulations can be evaluated under the Pike balancing test.</w:t>
      </w:r>
    </w:p>
    <w:p w14:paraId="00000117" w14:textId="77777777" w:rsidR="00F1592A" w:rsidRPr="00B22770" w:rsidRDefault="00F1592A">
      <w:pPr>
        <w:spacing w:line="240" w:lineRule="auto"/>
        <w:rPr>
          <w:rFonts w:ascii="Times New Roman" w:eastAsia="Times New Roman" w:hAnsi="Times New Roman" w:cs="Times New Roman"/>
          <w:sz w:val="24"/>
          <w:szCs w:val="24"/>
        </w:rPr>
      </w:pPr>
    </w:p>
    <w:p w14:paraId="00000118" w14:textId="77777777" w:rsidR="00F1592A" w:rsidRPr="00B22770" w:rsidRDefault="00711B04">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Even if this Court were to conclude that the Act regulates wholly out-of-state commerce, it does so in a facially neutral way and should instead be analyzed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State v. Heckel</w:t>
      </w:r>
      <w:r w:rsidRPr="00B22770">
        <w:rPr>
          <w:rFonts w:ascii="Times New Roman" w:eastAsia="Times New Roman" w:hAnsi="Times New Roman" w:cs="Times New Roman"/>
          <w:sz w:val="24"/>
          <w:szCs w:val="24"/>
        </w:rPr>
        <w:t xml:space="preserve">, 24 P.3d 404, 409 (Wash. 2001) (finding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governs when a statute “is facially neutral, applying impartially to in-state and out-of-state businesses”); </w:t>
      </w:r>
      <w:r w:rsidRPr="00B22770">
        <w:rPr>
          <w:rFonts w:ascii="Times New Roman" w:eastAsia="Times New Roman" w:hAnsi="Times New Roman" w:cs="Times New Roman"/>
          <w:sz w:val="24"/>
          <w:szCs w:val="24"/>
          <w:u w:val="single"/>
        </w:rPr>
        <w:t>see also</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397 U.S. at 142. The district court found that the Act would be constitutional under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balancing test and Appellees have not challenged that finding. Both parties concede that the Act neither facially discriminates against, nor has a discriminatory effect on, out-of-state commerce. [R. 13]. A state statute must be upheld if it "regulates evenhandedly to effectuate a legitimate local public interest, and its effects on interstate commerce are only incidental . . . unless the burden imposed on such commerce is clearly excessive in relation to the putative local benefits."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397 U.S. at 142.</w:t>
      </w:r>
    </w:p>
    <w:p w14:paraId="0000011E" w14:textId="1FD58378" w:rsidR="00F1592A" w:rsidRPr="006B4516" w:rsidRDefault="00711B04" w:rsidP="006B4516">
      <w:pPr>
        <w:spacing w:line="480" w:lineRule="auto"/>
        <w:ind w:firstLine="720"/>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The benefits of the Act are clear. Citing multiple studies and statistics, the Act lays out the benefits to corporations of having more women on their boards.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Appendix B-1. It costs nothing, neither financially nor reputability, for corporations to comply with the Act, but the performance and economic benefits of achieving economic parity are numerous. More women on boards leads to better earnings per share, improved sustainability and stock performance, and a higher net income growth rate. </w:t>
      </w:r>
      <w:r w:rsidRPr="00B22770">
        <w:rPr>
          <w:rFonts w:ascii="Times New Roman" w:eastAsia="Times New Roman" w:hAnsi="Times New Roman" w:cs="Times New Roman"/>
          <w:sz w:val="24"/>
          <w:szCs w:val="24"/>
          <w:u w:val="single"/>
        </w:rPr>
        <w:t>See</w:t>
      </w:r>
      <w:r w:rsidRPr="00B22770">
        <w:rPr>
          <w:rFonts w:ascii="Times New Roman" w:eastAsia="Times New Roman" w:hAnsi="Times New Roman" w:cs="Times New Roman"/>
          <w:sz w:val="24"/>
          <w:szCs w:val="24"/>
        </w:rPr>
        <w:t xml:space="preserve"> </w:t>
      </w:r>
      <w:r w:rsidRPr="00B22770">
        <w:rPr>
          <w:rFonts w:ascii="Times New Roman" w:eastAsia="Times New Roman" w:hAnsi="Times New Roman" w:cs="Times New Roman"/>
          <w:sz w:val="24"/>
          <w:szCs w:val="24"/>
          <w:u w:val="single"/>
        </w:rPr>
        <w:t>id.</w:t>
      </w:r>
      <w:r w:rsidRPr="00B22770">
        <w:rPr>
          <w:rFonts w:ascii="Times New Roman" w:eastAsia="Times New Roman" w:hAnsi="Times New Roman" w:cs="Times New Roman"/>
          <w:sz w:val="24"/>
          <w:szCs w:val="24"/>
        </w:rPr>
        <w:t xml:space="preserve"> Discriminatory statutes can be unconstitutional under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if they place an “undue burden” on interstate commerce, but a long overdue call for gender equality places no such burden. </w:t>
      </w:r>
      <w:r w:rsidRPr="00B22770">
        <w:rPr>
          <w:rFonts w:ascii="Times New Roman" w:eastAsia="Times New Roman" w:hAnsi="Times New Roman" w:cs="Times New Roman"/>
          <w:sz w:val="24"/>
          <w:szCs w:val="24"/>
          <w:u w:val="single"/>
        </w:rPr>
        <w:t>Colon Health Ctrs. of Am., LLC v. Hazel</w:t>
      </w:r>
      <w:r w:rsidRPr="00B22770">
        <w:rPr>
          <w:rFonts w:ascii="Times New Roman" w:eastAsia="Times New Roman" w:hAnsi="Times New Roman" w:cs="Times New Roman"/>
          <w:sz w:val="24"/>
          <w:szCs w:val="24"/>
        </w:rPr>
        <w:t xml:space="preserve">, 733 F.3d 535, 545 (4th Cir. 2013). Thus, if this Court finds that the Act regulates wholly out-of-state commerce, the </w:t>
      </w:r>
      <w:r w:rsidRPr="00B22770">
        <w:rPr>
          <w:rFonts w:ascii="Times New Roman" w:eastAsia="Times New Roman" w:hAnsi="Times New Roman" w:cs="Times New Roman"/>
          <w:sz w:val="24"/>
          <w:szCs w:val="24"/>
          <w:u w:val="single"/>
        </w:rPr>
        <w:t>Pike</w:t>
      </w:r>
      <w:r w:rsidRPr="00B22770">
        <w:rPr>
          <w:rFonts w:ascii="Times New Roman" w:eastAsia="Times New Roman" w:hAnsi="Times New Roman" w:cs="Times New Roman"/>
          <w:sz w:val="24"/>
          <w:szCs w:val="24"/>
        </w:rPr>
        <w:t xml:space="preserve"> test should be applied, and the Act should be found constitutional.</w:t>
      </w:r>
    </w:p>
    <w:p w14:paraId="0000011F" w14:textId="77777777" w:rsidR="00F1592A" w:rsidRPr="00B22770" w:rsidRDefault="00711B04">
      <w:pPr>
        <w:pStyle w:val="Heading1"/>
        <w:spacing w:line="479" w:lineRule="auto"/>
        <w:jc w:val="center"/>
        <w:rPr>
          <w:rFonts w:ascii="Times New Roman" w:hAnsi="Times New Roman" w:cs="Times New Roman"/>
          <w:sz w:val="24"/>
          <w:szCs w:val="24"/>
        </w:rPr>
      </w:pPr>
      <w:bookmarkStart w:id="31" w:name="_t05ia3o0flk9" w:colFirst="0" w:colLast="0"/>
      <w:bookmarkEnd w:id="31"/>
      <w:r w:rsidRPr="00B22770">
        <w:rPr>
          <w:rFonts w:ascii="Times New Roman" w:eastAsia="Times New Roman" w:hAnsi="Times New Roman" w:cs="Times New Roman"/>
          <w:b/>
          <w:sz w:val="24"/>
          <w:szCs w:val="24"/>
          <w:u w:val="single"/>
        </w:rPr>
        <w:t>CONCLUSION</w:t>
      </w:r>
    </w:p>
    <w:p w14:paraId="00000120" w14:textId="77777777" w:rsidR="00F1592A" w:rsidRPr="00B22770" w:rsidRDefault="00711B04">
      <w:pPr>
        <w:spacing w:before="240" w:after="240" w:line="479"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For the foregoing reasons, Petitioner respectfully requests this Court REVERSE the Fourteenth Circuit Court of Appeal’s grant of summary judgment for Appellees.</w:t>
      </w:r>
    </w:p>
    <w:p w14:paraId="00000121" w14:textId="77777777" w:rsidR="00F1592A" w:rsidRPr="00B22770" w:rsidRDefault="00711B04">
      <w:pPr>
        <w:spacing w:before="240" w:after="240" w:line="479"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xml:space="preserve"> </w:t>
      </w:r>
    </w:p>
    <w:p w14:paraId="00000122" w14:textId="77777777" w:rsidR="00F1592A" w:rsidRPr="00B22770" w:rsidRDefault="00711B04">
      <w:pPr>
        <w:spacing w:before="240" w:after="240" w:line="479" w:lineRule="auto"/>
        <w:jc w:val="right"/>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Respectfully Submitted,</w:t>
      </w:r>
    </w:p>
    <w:p w14:paraId="00000123" w14:textId="77777777" w:rsidR="00F1592A" w:rsidRPr="00B22770" w:rsidRDefault="00711B04">
      <w:pPr>
        <w:spacing w:before="240" w:after="240" w:line="479" w:lineRule="auto"/>
        <w:jc w:val="right"/>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Blair Astoria</w:t>
      </w:r>
    </w:p>
    <w:p w14:paraId="00000124" w14:textId="77777777" w:rsidR="00F1592A" w:rsidRPr="00B22770" w:rsidRDefault="00711B04">
      <w:pPr>
        <w:spacing w:before="240" w:after="240" w:line="479" w:lineRule="auto"/>
        <w:jc w:val="right"/>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By her attorneys,</w:t>
      </w:r>
    </w:p>
    <w:p w14:paraId="00000125" w14:textId="77777777" w:rsidR="00F1592A" w:rsidRPr="00B22770" w:rsidRDefault="00711B04">
      <w:pPr>
        <w:spacing w:before="240" w:after="240" w:line="479" w:lineRule="auto"/>
        <w:jc w:val="right"/>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_______________________</w:t>
      </w:r>
    </w:p>
    <w:p w14:paraId="00000126" w14:textId="77777777" w:rsidR="00F1592A" w:rsidRPr="00B22770" w:rsidRDefault="00711B04">
      <w:pPr>
        <w:spacing w:before="240" w:after="240" w:line="479" w:lineRule="auto"/>
        <w:jc w:val="right"/>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Attorney 1</w:t>
      </w:r>
    </w:p>
    <w:p w14:paraId="00000127" w14:textId="77777777" w:rsidR="00F1592A" w:rsidRPr="00B22770" w:rsidRDefault="00711B04">
      <w:pPr>
        <w:spacing w:before="240" w:after="240" w:line="479" w:lineRule="auto"/>
        <w:jc w:val="right"/>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______________________</w:t>
      </w:r>
    </w:p>
    <w:p w14:paraId="00000128" w14:textId="77777777" w:rsidR="00F1592A" w:rsidRPr="00B22770" w:rsidRDefault="00711B04">
      <w:pPr>
        <w:spacing w:before="240" w:after="240" w:line="479" w:lineRule="auto"/>
        <w:jc w:val="right"/>
        <w:rPr>
          <w:rFonts w:ascii="Times New Roman" w:hAnsi="Times New Roman" w:cs="Times New Roman"/>
          <w:sz w:val="24"/>
          <w:szCs w:val="24"/>
        </w:rPr>
        <w:sectPr w:rsidR="00F1592A" w:rsidRPr="00B22770">
          <w:footerReference w:type="default" r:id="rId17"/>
          <w:pgSz w:w="12240" w:h="15840"/>
          <w:pgMar w:top="1440" w:right="1440" w:bottom="1440" w:left="1440" w:header="720" w:footer="720" w:gutter="0"/>
          <w:pgNumType w:start="1"/>
          <w:cols w:space="720"/>
        </w:sectPr>
      </w:pPr>
      <w:r w:rsidRPr="00B22770">
        <w:rPr>
          <w:rFonts w:ascii="Times New Roman" w:eastAsia="Times New Roman" w:hAnsi="Times New Roman" w:cs="Times New Roman"/>
          <w:sz w:val="24"/>
          <w:szCs w:val="24"/>
        </w:rPr>
        <w:t>Attorney 2</w:t>
      </w:r>
    </w:p>
    <w:p w14:paraId="5BA38714" w14:textId="2B81E588" w:rsidR="00711B04" w:rsidRPr="00711B04" w:rsidRDefault="00711B04" w:rsidP="00711B04">
      <w:pPr>
        <w:pStyle w:val="Heading1"/>
        <w:jc w:val="center"/>
        <w:rPr>
          <w:rFonts w:ascii="Times New Roman" w:eastAsia="Times New Roman" w:hAnsi="Times New Roman" w:cs="Times New Roman"/>
          <w:b/>
          <w:sz w:val="24"/>
          <w:szCs w:val="24"/>
          <w:u w:val="single"/>
        </w:rPr>
      </w:pPr>
      <w:bookmarkStart w:id="32" w:name="_5t6lupafey9m" w:colFirst="0" w:colLast="0"/>
      <w:bookmarkEnd w:id="32"/>
      <w:r w:rsidRPr="00B22770">
        <w:rPr>
          <w:rFonts w:ascii="Times New Roman" w:eastAsia="Times New Roman" w:hAnsi="Times New Roman" w:cs="Times New Roman"/>
          <w:b/>
          <w:sz w:val="24"/>
          <w:szCs w:val="24"/>
          <w:u w:val="single"/>
        </w:rPr>
        <w:t>APPENDIX A</w:t>
      </w:r>
    </w:p>
    <w:p w14:paraId="0000012A" w14:textId="77777777" w:rsidR="00F1592A" w:rsidRPr="00B22770" w:rsidRDefault="00711B04" w:rsidP="00711B04">
      <w:pPr>
        <w:spacing w:line="240" w:lineRule="auto"/>
        <w:jc w:val="center"/>
        <w:rPr>
          <w:rFonts w:ascii="Times New Roman" w:eastAsia="Times New Roman" w:hAnsi="Times New Roman" w:cs="Times New Roman"/>
          <w:b/>
          <w:sz w:val="24"/>
          <w:szCs w:val="24"/>
        </w:rPr>
      </w:pPr>
      <w:r w:rsidRPr="00B22770">
        <w:rPr>
          <w:rFonts w:ascii="Times New Roman" w:eastAsia="Times New Roman" w:hAnsi="Times New Roman" w:cs="Times New Roman"/>
          <w:b/>
          <w:sz w:val="24"/>
          <w:szCs w:val="24"/>
        </w:rPr>
        <w:t>Genius Games Code of Conduct</w:t>
      </w:r>
    </w:p>
    <w:p w14:paraId="0000012B" w14:textId="77777777" w:rsidR="00F1592A" w:rsidRPr="00B22770" w:rsidRDefault="00F1592A" w:rsidP="00711B04">
      <w:pPr>
        <w:spacing w:line="240" w:lineRule="auto"/>
        <w:rPr>
          <w:rFonts w:ascii="Times New Roman" w:eastAsia="Times New Roman" w:hAnsi="Times New Roman" w:cs="Times New Roman"/>
          <w:b/>
          <w:sz w:val="24"/>
          <w:szCs w:val="24"/>
        </w:rPr>
      </w:pPr>
    </w:p>
    <w:p w14:paraId="0000012C" w14:textId="77777777" w:rsidR="00F1592A" w:rsidRPr="00B22770" w:rsidRDefault="00711B04" w:rsidP="00711B04">
      <w:pPr>
        <w:spacing w:line="240" w:lineRule="auto"/>
        <w:rPr>
          <w:rFonts w:ascii="Times New Roman" w:eastAsia="Times New Roman" w:hAnsi="Times New Roman" w:cs="Times New Roman"/>
          <w:b/>
          <w:sz w:val="24"/>
          <w:szCs w:val="24"/>
          <w:u w:val="single"/>
        </w:rPr>
      </w:pPr>
      <w:r w:rsidRPr="00B22770">
        <w:rPr>
          <w:rFonts w:ascii="Times New Roman" w:eastAsia="Times New Roman" w:hAnsi="Times New Roman" w:cs="Times New Roman"/>
          <w:b/>
          <w:sz w:val="24"/>
          <w:szCs w:val="24"/>
          <w:u w:val="single"/>
        </w:rPr>
        <w:t>Purpose of the Code of Conduct</w:t>
      </w:r>
    </w:p>
    <w:p w14:paraId="0000012D" w14:textId="77777777" w:rsidR="00F1592A" w:rsidRPr="00B22770" w:rsidRDefault="00F1592A" w:rsidP="00711B04">
      <w:pPr>
        <w:spacing w:line="240" w:lineRule="auto"/>
        <w:rPr>
          <w:rFonts w:ascii="Times New Roman" w:eastAsia="Times New Roman" w:hAnsi="Times New Roman" w:cs="Times New Roman"/>
          <w:sz w:val="24"/>
          <w:szCs w:val="24"/>
        </w:rPr>
      </w:pPr>
    </w:p>
    <w:p w14:paraId="0000012E" w14:textId="77777777" w:rsidR="00F1592A" w:rsidRPr="00B22770" w:rsidRDefault="00711B04" w:rsidP="00711B04">
      <w:p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This Code of Conduct sets the standards by which Genius Games (the “Company”) operates as a company. We take immense pride in being an ethical and inclusive workplace, and we therefore expect that all employees read and abide by the policies set forth herein. Any violations of the policies, rules, and standards set forth in this Code are absolutely unacceptable. The Company will take appropriate action against any alleged violations of any provision in this Code.</w:t>
      </w:r>
    </w:p>
    <w:p w14:paraId="0000012F" w14:textId="77777777" w:rsidR="00F1592A" w:rsidRPr="00B22770" w:rsidRDefault="00F1592A" w:rsidP="00711B04">
      <w:pPr>
        <w:spacing w:line="240" w:lineRule="auto"/>
        <w:rPr>
          <w:rFonts w:ascii="Times New Roman" w:eastAsia="Times New Roman" w:hAnsi="Times New Roman" w:cs="Times New Roman"/>
          <w:sz w:val="24"/>
          <w:szCs w:val="24"/>
        </w:rPr>
      </w:pPr>
    </w:p>
    <w:p w14:paraId="00000130" w14:textId="77777777" w:rsidR="00F1592A" w:rsidRPr="00B22770" w:rsidRDefault="00711B04" w:rsidP="00711B04">
      <w:p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 . . .</w:t>
      </w:r>
    </w:p>
    <w:p w14:paraId="00000131" w14:textId="77777777" w:rsidR="00F1592A" w:rsidRPr="00B22770" w:rsidRDefault="00F1592A" w:rsidP="00711B04">
      <w:pPr>
        <w:spacing w:line="240" w:lineRule="auto"/>
        <w:rPr>
          <w:rFonts w:ascii="Times New Roman" w:eastAsia="Times New Roman" w:hAnsi="Times New Roman" w:cs="Times New Roman"/>
          <w:sz w:val="24"/>
          <w:szCs w:val="24"/>
        </w:rPr>
      </w:pPr>
    </w:p>
    <w:p w14:paraId="00000132" w14:textId="77777777" w:rsidR="00F1592A" w:rsidRPr="00B22770" w:rsidRDefault="00711B04" w:rsidP="00711B04">
      <w:pPr>
        <w:spacing w:line="240" w:lineRule="auto"/>
        <w:rPr>
          <w:rFonts w:ascii="Times New Roman" w:eastAsia="Times New Roman" w:hAnsi="Times New Roman" w:cs="Times New Roman"/>
          <w:b/>
          <w:sz w:val="24"/>
          <w:szCs w:val="24"/>
          <w:u w:val="single"/>
        </w:rPr>
      </w:pPr>
      <w:r w:rsidRPr="00B22770">
        <w:rPr>
          <w:rFonts w:ascii="Times New Roman" w:eastAsia="Times New Roman" w:hAnsi="Times New Roman" w:cs="Times New Roman"/>
          <w:b/>
          <w:sz w:val="24"/>
          <w:szCs w:val="24"/>
          <w:u w:val="single"/>
        </w:rPr>
        <w:t>Zero-Tolerance Harassment Policy</w:t>
      </w:r>
    </w:p>
    <w:p w14:paraId="00000133" w14:textId="77777777" w:rsidR="00F1592A" w:rsidRPr="00B22770" w:rsidRDefault="00F1592A" w:rsidP="00711B04">
      <w:pPr>
        <w:spacing w:line="240" w:lineRule="auto"/>
        <w:rPr>
          <w:rFonts w:ascii="Times New Roman" w:eastAsia="Times New Roman" w:hAnsi="Times New Roman" w:cs="Times New Roman"/>
          <w:sz w:val="24"/>
          <w:szCs w:val="24"/>
        </w:rPr>
      </w:pPr>
    </w:p>
    <w:p w14:paraId="00000134" w14:textId="77777777" w:rsidR="00F1592A" w:rsidRPr="00B22770" w:rsidRDefault="00711B04" w:rsidP="00711B04">
      <w:p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(a) Zero-tolerance harassment policy. Maintaining a safe and comfortable workplace environment is essential to fostering high-quality work product and trust within the Company. We strongly believe that no employee should be subjected to sexual harassment by another employee. Accordingly, the Company maintains a zero-tolerance sexual harassment policy that applies to all employees.</w:t>
      </w:r>
    </w:p>
    <w:p w14:paraId="00000135" w14:textId="77777777" w:rsidR="00F1592A" w:rsidRPr="00B22770" w:rsidRDefault="00F1592A" w:rsidP="00711B04">
      <w:pPr>
        <w:spacing w:line="240" w:lineRule="auto"/>
        <w:rPr>
          <w:rFonts w:ascii="Times New Roman" w:eastAsia="Times New Roman" w:hAnsi="Times New Roman" w:cs="Times New Roman"/>
          <w:sz w:val="24"/>
          <w:szCs w:val="24"/>
        </w:rPr>
      </w:pPr>
    </w:p>
    <w:p w14:paraId="00000136" w14:textId="77777777" w:rsidR="00F1592A" w:rsidRPr="00B22770" w:rsidRDefault="00711B04" w:rsidP="00711B04">
      <w:pPr>
        <w:spacing w:line="240" w:lineRule="auto"/>
        <w:rPr>
          <w:rFonts w:ascii="Times New Roman" w:eastAsia="Times New Roman" w:hAnsi="Times New Roman" w:cs="Times New Roman"/>
          <w:sz w:val="24"/>
          <w:szCs w:val="24"/>
        </w:rPr>
      </w:pPr>
      <w:r w:rsidRPr="00B22770">
        <w:rPr>
          <w:rFonts w:ascii="Times New Roman" w:eastAsia="Times New Roman" w:hAnsi="Times New Roman" w:cs="Times New Roman"/>
          <w:sz w:val="24"/>
          <w:szCs w:val="24"/>
        </w:rPr>
        <w:t>(b) Enforcement of zero-tolerance policy. The Company takes all alleged incidents of sexual harassment seriously. Upon a report that an employee has been harassed by another employee, the Company will promptly begin an internal investigation into the allegations to be conducted by the Company. If you report an instance of workplace sexual harassment, your identity will remain anonymous to the extent possible. Any employee who, after such an internal investigation, is found to have sexually harassed another employee will be dismissed immediately.</w:t>
      </w:r>
    </w:p>
    <w:p w14:paraId="00000137" w14:textId="77777777" w:rsidR="00F1592A" w:rsidRPr="00B22770" w:rsidRDefault="00F1592A" w:rsidP="00711B04">
      <w:pPr>
        <w:spacing w:line="240" w:lineRule="auto"/>
        <w:rPr>
          <w:rFonts w:ascii="Times New Roman" w:eastAsia="Times New Roman" w:hAnsi="Times New Roman" w:cs="Times New Roman"/>
          <w:sz w:val="24"/>
          <w:szCs w:val="24"/>
        </w:rPr>
      </w:pPr>
    </w:p>
    <w:p w14:paraId="0000013A" w14:textId="1347C4D5" w:rsidR="00F1592A" w:rsidRPr="00B22770" w:rsidRDefault="00711B04" w:rsidP="00B12EBE">
      <w:pPr>
        <w:spacing w:line="240" w:lineRule="auto"/>
        <w:rPr>
          <w:rFonts w:ascii="Times New Roman" w:eastAsia="Times New Roman" w:hAnsi="Times New Roman" w:cs="Times New Roman"/>
          <w:sz w:val="24"/>
          <w:szCs w:val="24"/>
        </w:rPr>
        <w:sectPr w:rsidR="00F1592A" w:rsidRPr="00B22770">
          <w:footerReference w:type="default" r:id="rId18"/>
          <w:pgSz w:w="12240" w:h="15840"/>
          <w:pgMar w:top="1440" w:right="1440" w:bottom="1440" w:left="1440" w:header="720" w:footer="720" w:gutter="0"/>
          <w:cols w:space="720"/>
        </w:sectPr>
      </w:pPr>
      <w:r w:rsidRPr="00B22770">
        <w:rPr>
          <w:rFonts w:ascii="Times New Roman" w:eastAsia="Times New Roman" w:hAnsi="Times New Roman" w:cs="Times New Roman"/>
          <w:sz w:val="24"/>
          <w:szCs w:val="24"/>
        </w:rPr>
        <w:t>(c) Applicability. This zero-tolerance policy applies to all employees of the Company. No confirmed instances of workplace sexual harassment will be allowed to persist at the Company. All employees are hereby on notice of this policy and are expected to comply with it as a condition of their continued employment with the Company.</w:t>
      </w:r>
    </w:p>
    <w:p w14:paraId="27014E42" w14:textId="72EEBB89" w:rsidR="00B12EBE" w:rsidRPr="003315F8" w:rsidRDefault="00B12EBE" w:rsidP="003315F8">
      <w:pPr>
        <w:tabs>
          <w:tab w:val="left" w:pos="1260"/>
        </w:tabs>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u w:val="single"/>
        </w:rPr>
        <w:t>APPENDIX B</w:t>
      </w:r>
    </w:p>
    <w:p w14:paraId="7823F8B0" w14:textId="77777777" w:rsidR="00B12EBE" w:rsidRDefault="00B12EBE" w:rsidP="00B12EBE">
      <w:pPr>
        <w:rPr>
          <w:sz w:val="24"/>
          <w:szCs w:val="24"/>
        </w:rPr>
      </w:pPr>
    </w:p>
    <w:p w14:paraId="1708796B" w14:textId="77777777" w:rsidR="00B12EBE" w:rsidRDefault="00B12EBE" w:rsidP="00B12EB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Bill No. 455</w:t>
      </w:r>
    </w:p>
    <w:p w14:paraId="3B26AC8D" w14:textId="77777777" w:rsidR="00B12EBE" w:rsidRDefault="00B12EBE" w:rsidP="00B12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 237</w:t>
      </w:r>
    </w:p>
    <w:p w14:paraId="55B67D48" w14:textId="77777777" w:rsidR="00B12EBE" w:rsidRDefault="00B12EBE" w:rsidP="00B12EBE">
      <w:pPr>
        <w:jc w:val="center"/>
        <w:rPr>
          <w:rFonts w:ascii="Times New Roman" w:eastAsia="Times New Roman" w:hAnsi="Times New Roman" w:cs="Times New Roman"/>
          <w:sz w:val="24"/>
          <w:szCs w:val="24"/>
        </w:rPr>
      </w:pPr>
    </w:p>
    <w:p w14:paraId="54F107C0" w14:textId="77777777" w:rsidR="00B12EBE" w:rsidRDefault="00B12EBE" w:rsidP="00B12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 act to add Sections to the Albers General Corporations Law, relating to corporations.</w:t>
      </w:r>
    </w:p>
    <w:p w14:paraId="3DC32D5D" w14:textId="77777777" w:rsidR="00B12EBE" w:rsidRDefault="00B12EBE" w:rsidP="00B12EBE">
      <w:pPr>
        <w:jc w:val="center"/>
        <w:rPr>
          <w:rFonts w:ascii="Times New Roman" w:eastAsia="Times New Roman" w:hAnsi="Times New Roman" w:cs="Times New Roman"/>
          <w:sz w:val="24"/>
          <w:szCs w:val="24"/>
        </w:rPr>
      </w:pPr>
    </w:p>
    <w:p w14:paraId="28C02C1F" w14:textId="3A17E37A" w:rsidR="00B45EF2" w:rsidRDefault="00B12EBE" w:rsidP="00B45E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Introduced May 1, 2018. Approved by Governor November 30, 2018. Filed with Secretary of State November 30, 2018.</w:t>
      </w:r>
    </w:p>
    <w:p w14:paraId="417E812F" w14:textId="77777777" w:rsidR="00B45EF2" w:rsidRDefault="00B45EF2" w:rsidP="00B45EF2">
      <w:pPr>
        <w:jc w:val="center"/>
        <w:rPr>
          <w:rFonts w:ascii="Times New Roman" w:eastAsia="Times New Roman" w:hAnsi="Times New Roman" w:cs="Times New Roman"/>
          <w:sz w:val="24"/>
          <w:szCs w:val="24"/>
        </w:rPr>
      </w:pPr>
    </w:p>
    <w:p w14:paraId="2CBFA00E" w14:textId="77777777" w:rsidR="00B12EBE" w:rsidRDefault="003577B4" w:rsidP="00B12EBE">
      <w:pPr>
        <w:rPr>
          <w:rFonts w:ascii="Times New Roman" w:eastAsia="Times New Roman" w:hAnsi="Times New Roman" w:cs="Times New Roman"/>
          <w:sz w:val="24"/>
          <w:szCs w:val="24"/>
        </w:rPr>
      </w:pPr>
      <w:r>
        <w:rPr>
          <w:noProof/>
        </w:rPr>
        <w:pict w14:anchorId="1FAF20B7">
          <v:rect id="_x0000_i1031" alt="" style="width:468pt;height:.05pt;mso-width-percent:0;mso-height-percent:0;mso-width-percent:0;mso-height-percent:0" o:hralign="center" o:hrstd="t" o:hr="t" fillcolor="#a0a0a0" stroked="f"/>
        </w:pict>
      </w:r>
    </w:p>
    <w:p w14:paraId="4E6BF5A1" w14:textId="77777777" w:rsidR="00B12EBE" w:rsidRDefault="00B12EBE" w:rsidP="00B12EB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OF THE STATE OF ALBERS DO ENACT AS FOLLOWS:</w:t>
      </w:r>
    </w:p>
    <w:p w14:paraId="1EBAF257" w14:textId="77777777" w:rsidR="00B12EBE" w:rsidRDefault="00B12EBE" w:rsidP="00B12EBE">
      <w:pPr>
        <w:rPr>
          <w:rFonts w:ascii="Times New Roman" w:eastAsia="Times New Roman" w:hAnsi="Times New Roman" w:cs="Times New Roman"/>
          <w:sz w:val="24"/>
          <w:szCs w:val="24"/>
        </w:rPr>
      </w:pPr>
    </w:p>
    <w:p w14:paraId="04EFA6B6" w14:textId="77777777" w:rsidR="00B12EBE" w:rsidRPr="00B12EBE" w:rsidRDefault="00B12EBE" w:rsidP="00B12EBE">
      <w:pPr>
        <w:rPr>
          <w:rFonts w:ascii="Times New Roman" w:eastAsia="Times New Roman" w:hAnsi="Times New Roman" w:cs="Times New Roman"/>
          <w:b/>
          <w:bCs/>
          <w:sz w:val="24"/>
          <w:szCs w:val="24"/>
        </w:rPr>
      </w:pPr>
      <w:r w:rsidRPr="00B12EBE">
        <w:rPr>
          <w:rFonts w:ascii="Times New Roman" w:eastAsia="Times New Roman" w:hAnsi="Times New Roman" w:cs="Times New Roman"/>
          <w:b/>
          <w:bCs/>
          <w:sz w:val="24"/>
          <w:szCs w:val="24"/>
        </w:rPr>
        <w:t>SECTION 1.</w:t>
      </w:r>
    </w:p>
    <w:p w14:paraId="78DB42F2" w14:textId="77777777" w:rsidR="00B12EBE" w:rsidRDefault="00B12EBE" w:rsidP="00B12EBE">
      <w:pPr>
        <w:tabs>
          <w:tab w:val="left" w:pos="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Legislature finds and declares as follows:</w:t>
      </w:r>
    </w:p>
    <w:p w14:paraId="0EA42BEA"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More women directors serving on boards of directors of publicly held corporations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will boost the Albers economy, improve opportunities for women in the workplace,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protect Albers taxpayers, shareholders, and retirees. Yet studies predict that it will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take 40 or 50 years to achieve gender parity, if something is not done proactively.</w:t>
      </w:r>
    </w:p>
    <w:p w14:paraId="4B3555FF"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Numerous independent studies have concluded that publicly held companies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perform better when women serve on their boards of directors, including:</w:t>
      </w:r>
    </w:p>
    <w:p w14:paraId="5830F4FF"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A 2016 study by MSCI found that United States companies that began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five-year period from 2011 to 2016 with three or more female directors reported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earnings per share that were 45 percent higher than those companies with no female </w:t>
      </w:r>
      <w:r>
        <w:rPr>
          <w:rFonts w:ascii="Times New Roman" w:eastAsia="Times New Roman" w:hAnsi="Times New Roman" w:cs="Times New Roman"/>
          <w:sz w:val="24"/>
          <w:szCs w:val="24"/>
        </w:rPr>
        <w:tab/>
        <w:t>directors at the beginning of the period.</w:t>
      </w:r>
      <w:r>
        <w:rPr>
          <w:rFonts w:ascii="Times New Roman" w:eastAsia="Times New Roman" w:hAnsi="Times New Roman" w:cs="Times New Roman"/>
          <w:sz w:val="24"/>
          <w:szCs w:val="24"/>
          <w:vertAlign w:val="superscript"/>
        </w:rPr>
        <w:footnoteReference w:id="1"/>
      </w:r>
    </w:p>
    <w:p w14:paraId="6933C0E9"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In 2014, Credit Suisse found that companies with at least one woman on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had an average return on equity (“ROE”) of 12.2 percent, compared to 10.1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percent for companies with no female directors. Additionally, the price-to-book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value of these firms was greater for those with women on their boards: 2.4 times the </w:t>
      </w:r>
      <w:r>
        <w:rPr>
          <w:rFonts w:ascii="Times New Roman" w:eastAsia="Times New Roman" w:hAnsi="Times New Roman" w:cs="Times New Roman"/>
          <w:sz w:val="24"/>
          <w:szCs w:val="24"/>
        </w:rPr>
        <w:tab/>
        <w:t>value in comparison to 1.8 times the value for zero-women boards.</w:t>
      </w:r>
      <w:r>
        <w:rPr>
          <w:rFonts w:ascii="Times New Roman" w:eastAsia="Times New Roman" w:hAnsi="Times New Roman" w:cs="Times New Roman"/>
          <w:sz w:val="24"/>
          <w:szCs w:val="24"/>
          <w:vertAlign w:val="superscript"/>
        </w:rPr>
        <w:footnoteReference w:id="2"/>
      </w:r>
    </w:p>
    <w:p w14:paraId="017CA887" w14:textId="2F254DCE" w:rsidR="00B12EBE" w:rsidRDefault="00B12EBE" w:rsidP="00B12EBE">
      <w:pPr>
        <w:tabs>
          <w:tab w:val="left" w:pos="1260"/>
        </w:tabs>
        <w:rPr>
          <w:rFonts w:ascii="Times New Roman" w:eastAsia="Times New Roman" w:hAnsi="Times New Roman" w:cs="Times New Roman"/>
          <w:sz w:val="24"/>
          <w:szCs w:val="24"/>
        </w:rPr>
        <w:sectPr w:rsidR="00B12EBE">
          <w:footerReference w:type="default" r:id="rId19"/>
          <w:pgSz w:w="12240" w:h="15840"/>
          <w:pgMar w:top="1440" w:right="1440" w:bottom="1440" w:left="1440" w:header="720" w:footer="720" w:gutter="0"/>
          <w:cols w:space="720"/>
        </w:sectPr>
      </w:pPr>
      <w:r>
        <w:rPr>
          <w:rFonts w:ascii="Times New Roman" w:eastAsia="Times New Roman" w:hAnsi="Times New Roman" w:cs="Times New Roman"/>
          <w:sz w:val="24"/>
          <w:szCs w:val="24"/>
        </w:rPr>
        <w:tab/>
        <w:t xml:space="preserve">(3) A 2012 University of California, Berkeley study called “Women Create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Sustainable Future” found that companies with more women on their boards are </w:t>
      </w:r>
      <w:r>
        <w:rPr>
          <w:rFonts w:ascii="Times New Roman" w:eastAsia="Times New Roman" w:hAnsi="Times New Roman" w:cs="Times New Roman"/>
          <w:sz w:val="24"/>
          <w:szCs w:val="24"/>
        </w:rPr>
        <w:tab/>
      </w:r>
    </w:p>
    <w:p w14:paraId="2659FC84" w14:textId="4526AF0E"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more likely to “create a sustainable future” by, among other things, instituting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strong governance structures with a high level of transparency.</w:t>
      </w:r>
      <w:r>
        <w:rPr>
          <w:rFonts w:ascii="Times New Roman" w:eastAsia="Times New Roman" w:hAnsi="Times New Roman" w:cs="Times New Roman"/>
          <w:sz w:val="24"/>
          <w:szCs w:val="24"/>
          <w:vertAlign w:val="superscript"/>
        </w:rPr>
        <w:footnoteReference w:id="3"/>
      </w:r>
    </w:p>
    <w:p w14:paraId="653913A4"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Credit Suisse conducted a six-year global research study from 2006 to 2012,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with more than 2,000 companies worldwide, showing that women on boards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improve business performance for key metrics, including stock performance.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companies with a market capitalization of more than $10 billion, those with women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directors on boards outperformed shares of comparable businesses with all-male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boards by 26 percent. The Credit Suisse report included the following findings:</w:t>
      </w:r>
    </w:p>
    <w:p w14:paraId="59B36F0E" w14:textId="77777777" w:rsidR="00B12EBE" w:rsidRDefault="00B12EBE" w:rsidP="00B12EBE">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There has been a greater correlation between stock performance and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presence of women on a board since the financial crisis in 2008.</w:t>
      </w:r>
    </w:p>
    <w:p w14:paraId="53B8409B" w14:textId="77777777" w:rsidR="00B12EBE" w:rsidRDefault="00B12EBE" w:rsidP="00B12EBE">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Companies with women on their boards of directors significantly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outperformed others when the recession occurred.</w:t>
      </w:r>
    </w:p>
    <w:p w14:paraId="5E934FF3" w14:textId="77777777" w:rsidR="00B12EBE" w:rsidRDefault="00B12EBE" w:rsidP="00B12EBE">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Companies with women on their boards tend to be somewhat risk averse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and carry less debt, on average.</w:t>
      </w:r>
    </w:p>
    <w:p w14:paraId="546F0EB8" w14:textId="77777777" w:rsidR="00B12EBE" w:rsidRDefault="00B12EBE" w:rsidP="00B12EBE">
      <w:pPr>
        <w:tabs>
          <w:tab w:val="left" w:pos="17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Net income growth for companies with women on their boards averaged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14 percent over a six-year period, compared with 10 percent for companies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with no women directors.</w:t>
      </w:r>
      <w:r>
        <w:rPr>
          <w:rFonts w:ascii="Times New Roman" w:eastAsia="Times New Roman" w:hAnsi="Times New Roman" w:cs="Times New Roman"/>
          <w:sz w:val="24"/>
          <w:szCs w:val="24"/>
          <w:vertAlign w:val="superscript"/>
        </w:rPr>
        <w:footnoteReference w:id="4"/>
      </w:r>
    </w:p>
    <w:p w14:paraId="439482D5"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32 percent of Albers’s public companies in the Russell 3000 index have NO women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 their boards of directors; and for the rest of the companies, women hold only 10.5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percent of the board seats. A 2017 report conducted by University of Albers professor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Beth Bertrand found the following:</w:t>
      </w:r>
    </w:p>
    <w:p w14:paraId="336C04FD"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As of December 2017, among the 104 publicly traded companies included in the </w:t>
      </w:r>
      <w:r>
        <w:rPr>
          <w:rFonts w:ascii="Times New Roman" w:eastAsia="Times New Roman" w:hAnsi="Times New Roman" w:cs="Times New Roman"/>
          <w:sz w:val="24"/>
          <w:szCs w:val="24"/>
        </w:rPr>
        <w:tab/>
        <w:t xml:space="preserve">Russell 3000 index and incorporated or headquartered in Albers, representing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nearly $1.4 trillion in market capitalization, women directors held 278 seats, or 10.5 </w:t>
      </w:r>
      <w:r>
        <w:rPr>
          <w:rFonts w:ascii="Times New Roman" w:eastAsia="Times New Roman" w:hAnsi="Times New Roman" w:cs="Times New Roman"/>
          <w:sz w:val="24"/>
          <w:szCs w:val="24"/>
        </w:rPr>
        <w:tab/>
        <w:t>percent of seats, while men held 2,377 seats, or 89.5 percent of seats.</w:t>
      </w:r>
    </w:p>
    <w:p w14:paraId="52082F0F"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More than one-quarter, numbering 26, of the Russell 3000 companies based 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Albers have NO women directors serving on their boards.</w:t>
      </w:r>
    </w:p>
    <w:p w14:paraId="1F02216D"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Only 12, or 12 percent, of these companies have three or more female directors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their boards.</w:t>
      </w:r>
    </w:p>
    <w:p w14:paraId="2FC9174F"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Smaller companies are much more likely to lack female directors. Among the 50 </w:t>
      </w:r>
      <w:r>
        <w:rPr>
          <w:rFonts w:ascii="Times New Roman" w:eastAsia="Times New Roman" w:hAnsi="Times New Roman" w:cs="Times New Roman"/>
          <w:sz w:val="24"/>
          <w:szCs w:val="24"/>
        </w:rPr>
        <w:tab/>
        <w:t xml:space="preserve">Albers-based companies with the lowest revenues, with an average of $13 million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 2015 revenues, only 8.4 percent of the director seats are held by women,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nearly half, or 48 percent, of these companies have NO women directors.</w:t>
      </w:r>
    </w:p>
    <w:p w14:paraId="3E967BA5" w14:textId="77777777" w:rsidR="00B12EBE" w:rsidRDefault="00B12EBE" w:rsidP="00B12EBE">
      <w:pPr>
        <w:rPr>
          <w:rFonts w:ascii="Times New Roman" w:eastAsia="Times New Roman" w:hAnsi="Times New Roman" w:cs="Times New Roman"/>
          <w:sz w:val="24"/>
          <w:szCs w:val="24"/>
        </w:rPr>
        <w:sectPr w:rsidR="00B12EBE">
          <w:footerReference w:type="default" r:id="rId20"/>
          <w:pgSz w:w="12240" w:h="15840"/>
          <w:pgMar w:top="1440" w:right="1440" w:bottom="1440" w:left="1440" w:header="720" w:footer="720" w:gutter="0"/>
          <w:cols w:space="720"/>
        </w:sectPr>
      </w:pPr>
    </w:p>
    <w:p w14:paraId="2E12409C" w14:textId="6F0219CB" w:rsidR="00B12EBE" w:rsidRPr="003315F8" w:rsidRDefault="00B12EBE" w:rsidP="00B12EBE">
      <w:pPr>
        <w:rPr>
          <w:rFonts w:ascii="Times New Roman" w:eastAsia="Times New Roman" w:hAnsi="Times New Roman" w:cs="Times New Roman"/>
          <w:b/>
          <w:bCs/>
          <w:sz w:val="24"/>
          <w:szCs w:val="24"/>
        </w:rPr>
      </w:pPr>
      <w:r w:rsidRPr="003315F8">
        <w:rPr>
          <w:rFonts w:ascii="Times New Roman" w:eastAsia="Times New Roman" w:hAnsi="Times New Roman" w:cs="Times New Roman"/>
          <w:b/>
          <w:bCs/>
          <w:sz w:val="24"/>
          <w:szCs w:val="24"/>
        </w:rPr>
        <w:t>SEC</w:t>
      </w:r>
      <w:r w:rsidR="003315F8" w:rsidRPr="003315F8">
        <w:rPr>
          <w:rFonts w:ascii="Times New Roman" w:eastAsia="Times New Roman" w:hAnsi="Times New Roman" w:cs="Times New Roman"/>
          <w:b/>
          <w:bCs/>
          <w:sz w:val="24"/>
          <w:szCs w:val="24"/>
        </w:rPr>
        <w:t>.</w:t>
      </w:r>
      <w:r w:rsidRPr="003315F8">
        <w:rPr>
          <w:rFonts w:ascii="Times New Roman" w:eastAsia="Times New Roman" w:hAnsi="Times New Roman" w:cs="Times New Roman"/>
          <w:b/>
          <w:bCs/>
          <w:sz w:val="24"/>
          <w:szCs w:val="24"/>
        </w:rPr>
        <w:t xml:space="preserve"> 2.</w:t>
      </w:r>
    </w:p>
    <w:p w14:paraId="0D456815" w14:textId="77777777" w:rsidR="00B12EBE" w:rsidRDefault="00B12EBE" w:rsidP="00B12EBE">
      <w:pPr>
        <w:tabs>
          <w:tab w:val="left" w:pos="9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301.3 is added to the AGCL, to read:</w:t>
      </w:r>
    </w:p>
    <w:p w14:paraId="3AB6A514" w14:textId="77777777" w:rsidR="00B12EBE" w:rsidRPr="003315F8" w:rsidRDefault="00B12EBE" w:rsidP="00B12EBE">
      <w:pPr>
        <w:rPr>
          <w:rFonts w:ascii="Times New Roman" w:eastAsia="Times New Roman" w:hAnsi="Times New Roman" w:cs="Times New Roman"/>
          <w:b/>
          <w:bCs/>
          <w:sz w:val="24"/>
          <w:szCs w:val="24"/>
        </w:rPr>
      </w:pPr>
      <w:r w:rsidRPr="003315F8">
        <w:rPr>
          <w:rFonts w:ascii="Times New Roman" w:eastAsia="Times New Roman" w:hAnsi="Times New Roman" w:cs="Times New Roman"/>
          <w:b/>
          <w:bCs/>
          <w:sz w:val="24"/>
          <w:szCs w:val="24"/>
        </w:rPr>
        <w:t>301.3.</w:t>
      </w:r>
    </w:p>
    <w:p w14:paraId="0BE7B3A1"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No later than June 30, 2019, a publicly held domestic corporation, a foreign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corporation with principal executive offices in Albers, or a foreign corporation with 10% </w:t>
      </w:r>
      <w:r>
        <w:rPr>
          <w:rFonts w:ascii="Times New Roman" w:eastAsia="Times New Roman" w:hAnsi="Times New Roman" w:cs="Times New Roman"/>
          <w:sz w:val="24"/>
          <w:szCs w:val="24"/>
        </w:rPr>
        <w:tab/>
        <w:t xml:space="preserve">or more of its shares owned by Albers residents shall have a minimum of one female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director on its board. A corporation may increase the number of directors on its board to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comply with this section.</w:t>
      </w:r>
    </w:p>
    <w:p w14:paraId="52E2E647"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No later than the close of the 2020 calendar year, a publicly held domestic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corporation, a foreign corporation with principal executive offices in Albers, or a foreign </w:t>
      </w:r>
      <w:r>
        <w:rPr>
          <w:rFonts w:ascii="Times New Roman" w:eastAsia="Times New Roman" w:hAnsi="Times New Roman" w:cs="Times New Roman"/>
          <w:sz w:val="24"/>
          <w:szCs w:val="24"/>
        </w:rPr>
        <w:tab/>
        <w:t xml:space="preserve">corporation with 10% or more of its shares owned by Albers residents shall comply with </w:t>
      </w:r>
      <w:r>
        <w:rPr>
          <w:rFonts w:ascii="Times New Roman" w:eastAsia="Times New Roman" w:hAnsi="Times New Roman" w:cs="Times New Roman"/>
          <w:sz w:val="24"/>
          <w:szCs w:val="24"/>
        </w:rPr>
        <w:tab/>
        <w:t>the following:</w:t>
      </w:r>
    </w:p>
    <w:p w14:paraId="65A913DF"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If its number of directors is six or more, the corporation shall have a minimum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 three female directors.</w:t>
      </w:r>
    </w:p>
    <w:p w14:paraId="226C494D"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If its number of directors is five, the corporation shall have a minimum of two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female directors.</w:t>
      </w:r>
    </w:p>
    <w:p w14:paraId="2F44C90B"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If its number of directors is four or fewer, the corporation shall have a minimum </w:t>
      </w:r>
      <w:r>
        <w:rPr>
          <w:rFonts w:ascii="Times New Roman" w:eastAsia="Times New Roman" w:hAnsi="Times New Roman" w:cs="Times New Roman"/>
          <w:sz w:val="24"/>
          <w:szCs w:val="24"/>
        </w:rPr>
        <w:tab/>
        <w:t>of one female director.</w:t>
      </w:r>
    </w:p>
    <w:p w14:paraId="7CE17C11"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 No later than August 1, 2019, the Secretary of State shall publish a report on its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Internet Web site documenting the number of corporations subject to this statute who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have at least one female director.</w:t>
      </w:r>
    </w:p>
    <w:p w14:paraId="7161868B"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 No later than March 1, 2020, and annually thereafter, the Secretary of State shall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publish a report on its Internet Web site regarding, at a minimum, all of the following:</w:t>
      </w:r>
    </w:p>
    <w:p w14:paraId="457371C4"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The number of corporations subject to this section that were in compliance with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 requirements of this section during at least one point during the preceding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calendar year.</w:t>
      </w:r>
    </w:p>
    <w:p w14:paraId="78E03C00"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The number of publicly held corporations that were subject to this section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during the preceding year, but are no longer publicly traded.</w:t>
      </w:r>
    </w:p>
    <w:p w14:paraId="4D6AB6FF"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 A shareholder of a corporation subject to this section may commence a civil action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against the corporation for failure to comply with this section. Notwithstanding any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other remedies, a shareholder may recover a civil penalty of $100 per share for each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violation of this section.</w:t>
      </w:r>
    </w:p>
    <w:p w14:paraId="11FB3D2A" w14:textId="77777777" w:rsidR="00B12EBE" w:rsidRDefault="00B12EBE" w:rsidP="00B12EBE">
      <w:pPr>
        <w:tabs>
          <w:tab w:val="left" w:pos="81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(f) For purposes of this section, the following definitions apply:</w:t>
      </w:r>
    </w:p>
    <w:p w14:paraId="6E6636A4"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“Domestic corporation” means a corporation organized under the laws of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State of Albers.</w:t>
      </w:r>
    </w:p>
    <w:p w14:paraId="624B2F3B"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“Female” means an individual who self-identifies her gender as a woman,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without regard to the individual’s designated sex at birth.</w:t>
      </w:r>
    </w:p>
    <w:p w14:paraId="6D801A7E" w14:textId="70913B4E" w:rsidR="00B12EBE" w:rsidRDefault="00B12EBE" w:rsidP="00B12EBE">
      <w:pPr>
        <w:tabs>
          <w:tab w:val="left" w:pos="1260"/>
        </w:tabs>
        <w:rPr>
          <w:rFonts w:ascii="Times New Roman" w:eastAsia="Times New Roman" w:hAnsi="Times New Roman" w:cs="Times New Roman"/>
          <w:sz w:val="24"/>
          <w:szCs w:val="24"/>
        </w:rPr>
        <w:sectPr w:rsidR="00B12EBE">
          <w:footerReference w:type="default" r:id="rId21"/>
          <w:pgSz w:w="12240" w:h="15840"/>
          <w:pgMar w:top="1440" w:right="1440" w:bottom="1440" w:left="1440" w:header="720" w:footer="720" w:gutter="0"/>
          <w:cols w:space="720"/>
        </w:sectPr>
      </w:pPr>
      <w:r>
        <w:rPr>
          <w:rFonts w:ascii="Times New Roman" w:eastAsia="Times New Roman" w:hAnsi="Times New Roman" w:cs="Times New Roman"/>
          <w:sz w:val="24"/>
          <w:szCs w:val="24"/>
        </w:rPr>
        <w:tab/>
        <w:t xml:space="preserve">(3) “Publicly held corporation” means a corporation with outstanding shares listed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on a major United States stock exchange.</w:t>
      </w:r>
    </w:p>
    <w:p w14:paraId="66853780" w14:textId="77777777" w:rsidR="00B12EBE" w:rsidRDefault="00B12EBE" w:rsidP="00B12EBE">
      <w:pPr>
        <w:tabs>
          <w:tab w:val="left" w:pos="12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“Foreign corporation” means a corporation organized under the laws of a state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other than the State of Albers.</w:t>
      </w:r>
    </w:p>
    <w:p w14:paraId="30B1DAE1" w14:textId="31928F86" w:rsidR="00711B04" w:rsidRPr="00B22770" w:rsidRDefault="00711B04" w:rsidP="00711B04">
      <w:pPr>
        <w:tabs>
          <w:tab w:val="left" w:pos="1260"/>
        </w:tabs>
        <w:spacing w:line="240" w:lineRule="auto"/>
        <w:rPr>
          <w:rFonts w:ascii="Times New Roman" w:eastAsia="Times New Roman" w:hAnsi="Times New Roman" w:cs="Times New Roman"/>
          <w:sz w:val="24"/>
          <w:szCs w:val="24"/>
        </w:rPr>
      </w:pPr>
    </w:p>
    <w:sectPr w:rsidR="00711B04" w:rsidRPr="00B22770">
      <w:foot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FA31F" w14:textId="77777777" w:rsidR="001351FD" w:rsidRDefault="001351FD">
      <w:pPr>
        <w:spacing w:line="240" w:lineRule="auto"/>
      </w:pPr>
      <w:r>
        <w:separator/>
      </w:r>
    </w:p>
  </w:endnote>
  <w:endnote w:type="continuationSeparator" w:id="0">
    <w:p w14:paraId="2DD7CEDB" w14:textId="77777777" w:rsidR="001351FD" w:rsidRDefault="00135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F" w14:textId="77777777" w:rsidR="00711B04" w:rsidRDefault="00711B04" w:rsidP="00B45EF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5" w14:textId="77777777" w:rsidR="00711B04" w:rsidRPr="00711B04" w:rsidRDefault="00711B04" w:rsidP="00B45EF2">
    <w:pPr>
      <w:jc w:val="right"/>
      <w:rPr>
        <w:rFonts w:ascii="Times New Roman" w:hAnsi="Times New Roman" w:cs="Times New Roman"/>
        <w:sz w:val="24"/>
        <w:szCs w:val="24"/>
      </w:rPr>
    </w:pPr>
    <w:r w:rsidRPr="00711B04">
      <w:rPr>
        <w:rFonts w:ascii="Times New Roman" w:hAnsi="Times New Roman" w:cs="Times New Roman"/>
        <w:sz w:val="24"/>
        <w:szCs w:val="24"/>
      </w:rPr>
      <w:t>A-1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A4849" w14:textId="77777777" w:rsidR="00B12EBE" w:rsidRPr="006561EB" w:rsidRDefault="00B12EBE" w:rsidP="00B45EF2">
    <w:pPr>
      <w:jc w:val="right"/>
      <w:rPr>
        <w:rFonts w:ascii="Times New Roman" w:hAnsi="Times New Roman" w:cs="Times New Roman"/>
        <w:sz w:val="24"/>
        <w:szCs w:val="24"/>
      </w:rPr>
    </w:pPr>
    <w:r w:rsidRPr="006561EB">
      <w:rPr>
        <w:rFonts w:ascii="Times New Roman" w:hAnsi="Times New Roman" w:cs="Times New Roman"/>
        <w:sz w:val="24"/>
        <w:szCs w:val="24"/>
      </w:rPr>
      <w:t>B-1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F06D6" w14:textId="77777777" w:rsidR="00B12EBE" w:rsidRPr="006561EB" w:rsidRDefault="00B12EBE" w:rsidP="006561EB">
    <w:pPr>
      <w:jc w:val="center"/>
      <w:rPr>
        <w:rFonts w:ascii="Times New Roman" w:hAnsi="Times New Roman" w:cs="Times New Roman"/>
        <w:sz w:val="24"/>
        <w:szCs w:val="24"/>
      </w:rPr>
    </w:pPr>
    <w:r w:rsidRPr="006561EB">
      <w:rPr>
        <w:rFonts w:ascii="Times New Roman" w:hAnsi="Times New Roman" w:cs="Times New Roman"/>
        <w:sz w:val="24"/>
        <w:szCs w:val="24"/>
      </w:rPr>
      <w:t>B-2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522E5" w14:textId="77777777" w:rsidR="00B12EBE" w:rsidRPr="006561EB" w:rsidRDefault="00B12EBE" w:rsidP="006561EB">
    <w:pPr>
      <w:jc w:val="center"/>
      <w:rPr>
        <w:rFonts w:ascii="Times New Roman" w:hAnsi="Times New Roman" w:cs="Times New Roman"/>
        <w:sz w:val="24"/>
        <w:szCs w:val="24"/>
      </w:rPr>
    </w:pPr>
    <w:r w:rsidRPr="006561EB">
      <w:rPr>
        <w:rFonts w:ascii="Times New Roman" w:hAnsi="Times New Roman" w:cs="Times New Roman"/>
        <w:sz w:val="24"/>
        <w:szCs w:val="24"/>
      </w:rPr>
      <w:t>B-3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D" w14:textId="77777777" w:rsidR="00711B04" w:rsidRPr="00711B04" w:rsidRDefault="00711B04" w:rsidP="00711B04">
    <w:pPr>
      <w:jc w:val="center"/>
      <w:rPr>
        <w:rFonts w:ascii="Times New Roman" w:hAnsi="Times New Roman" w:cs="Times New Roman"/>
        <w:sz w:val="24"/>
        <w:szCs w:val="24"/>
      </w:rPr>
    </w:pPr>
    <w:r w:rsidRPr="00711B04">
      <w:rPr>
        <w:rFonts w:ascii="Times New Roman" w:hAnsi="Times New Roman" w:cs="Times New Roman"/>
        <w:sz w:val="24"/>
        <w:szCs w:val="24"/>
      </w:rPr>
      <w:t>B-4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6E" w14:textId="77777777" w:rsidR="00711B04" w:rsidRDefault="00711B04">
    <w:pPr>
      <w:jc w:val="right"/>
      <w:rPr>
        <w:rFonts w:ascii="Times New Roman" w:eastAsia="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2" w14:textId="77777777" w:rsidR="00711B04" w:rsidRDefault="00711B04" w:rsidP="00B45EF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0" w14:textId="77777777" w:rsidR="00711B04" w:rsidRDefault="00711B04" w:rsidP="00B45EF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3" w14:textId="77777777" w:rsidR="00711B04" w:rsidRDefault="00711B0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81" w14:textId="77777777" w:rsidR="00711B04" w:rsidRDefault="00711B04" w:rsidP="00B45EF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E" w14:textId="77777777" w:rsidR="00711B04" w:rsidRDefault="00711B0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F" w14:textId="77777777" w:rsidR="00711B04" w:rsidRDefault="00711B04">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4" w14:textId="5FAB529B" w:rsidR="00711B04" w:rsidRDefault="00711B04" w:rsidP="00B45EF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77B4">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E3D74" w14:textId="77777777" w:rsidR="001351FD" w:rsidRDefault="001351FD">
      <w:pPr>
        <w:spacing w:line="240" w:lineRule="auto"/>
      </w:pPr>
      <w:r>
        <w:separator/>
      </w:r>
    </w:p>
  </w:footnote>
  <w:footnote w:type="continuationSeparator" w:id="0">
    <w:p w14:paraId="03E94775" w14:textId="77777777" w:rsidR="001351FD" w:rsidRDefault="001351FD">
      <w:pPr>
        <w:spacing w:line="240" w:lineRule="auto"/>
      </w:pPr>
      <w:r>
        <w:continuationSeparator/>
      </w:r>
    </w:p>
  </w:footnote>
  <w:footnote w:id="1">
    <w:p w14:paraId="78708C52" w14:textId="77777777" w:rsidR="00B12EBE" w:rsidRDefault="00B12EBE" w:rsidP="00B12EBE">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Meggin Thwing Eastman, Damion Rallis &amp; Gaia Mazzucchelli, MSCI ESG Research LLC, </w:t>
      </w:r>
      <w:r w:rsidRPr="00E54B5B">
        <w:rPr>
          <w:rFonts w:ascii="Times New Roman" w:eastAsia="Times New Roman" w:hAnsi="Times New Roman" w:cs="Times New Roman"/>
          <w:sz w:val="24"/>
          <w:szCs w:val="24"/>
          <w:u w:val="single"/>
        </w:rPr>
        <w:t xml:space="preserve">The Tipping Point: Women on Boards and Financial Performance </w:t>
      </w:r>
      <w:r>
        <w:rPr>
          <w:rFonts w:ascii="Times New Roman" w:eastAsia="Times New Roman" w:hAnsi="Times New Roman" w:cs="Times New Roman"/>
          <w:sz w:val="24"/>
          <w:szCs w:val="24"/>
        </w:rPr>
        <w:t>3 (2016), https://www.msci.com/documents/%2010199/fd1f8228-cc07-4789-acee-3f9ed97ee8bb.</w:t>
      </w:r>
    </w:p>
  </w:footnote>
  <w:footnote w:id="2">
    <w:p w14:paraId="10C413C9" w14:textId="77777777" w:rsidR="00B12EBE" w:rsidRDefault="00B12EBE" w:rsidP="00B12EB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3 Credit Suisse AG Research Institute, </w:t>
      </w:r>
      <w:r w:rsidRPr="00E54B5B">
        <w:rPr>
          <w:rFonts w:ascii="Times New Roman" w:eastAsia="Times New Roman" w:hAnsi="Times New Roman" w:cs="Times New Roman"/>
          <w:sz w:val="24"/>
          <w:szCs w:val="24"/>
          <w:u w:val="single"/>
        </w:rPr>
        <w:t xml:space="preserve">The CS Gender 3000: Women in Senior Management </w:t>
      </w:r>
      <w:r>
        <w:rPr>
          <w:rFonts w:ascii="Times New Roman" w:eastAsia="Times New Roman" w:hAnsi="Times New Roman" w:cs="Times New Roman"/>
          <w:sz w:val="24"/>
          <w:szCs w:val="24"/>
        </w:rPr>
        <w:t>16 (2014), https://directwomen.org/sites/default/files/news-pdfs/9.pdf.</w:t>
      </w:r>
    </w:p>
  </w:footnote>
  <w:footnote w:id="3">
    <w:p w14:paraId="4D37D25F" w14:textId="77777777" w:rsidR="00B12EBE" w:rsidRDefault="00B12EBE" w:rsidP="00B12EB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Pamela Tom, </w:t>
      </w:r>
      <w:r w:rsidRPr="00E54B5B">
        <w:rPr>
          <w:rFonts w:ascii="Times New Roman" w:eastAsia="Times New Roman" w:hAnsi="Times New Roman" w:cs="Times New Roman"/>
          <w:sz w:val="24"/>
          <w:szCs w:val="24"/>
          <w:u w:val="single"/>
        </w:rPr>
        <w:t>More Female Board Directors Add Up to Improved Sustainability Performance</w:t>
      </w:r>
      <w:r>
        <w:rPr>
          <w:rFonts w:ascii="Times New Roman" w:eastAsia="Times New Roman" w:hAnsi="Times New Roman" w:cs="Times New Roman"/>
          <w:sz w:val="24"/>
          <w:szCs w:val="24"/>
        </w:rPr>
        <w:t>, BerkeleyHaas (Nov. 15, 2012), https://newsroom.haas.berkeley.edu/more-female-board-directors-add-improved-sustainability-performance/.</w:t>
      </w:r>
    </w:p>
  </w:footnote>
  <w:footnote w:id="4">
    <w:p w14:paraId="718E63DF" w14:textId="77777777" w:rsidR="00B12EBE" w:rsidRDefault="00B12EBE" w:rsidP="00B12EBE">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 xml:space="preserve">Credit Suisse AG Research Institute, </w:t>
      </w:r>
      <w:r w:rsidRPr="00E54B5B">
        <w:rPr>
          <w:rFonts w:ascii="Times New Roman" w:eastAsia="Times New Roman" w:hAnsi="Times New Roman" w:cs="Times New Roman"/>
          <w:sz w:val="24"/>
          <w:szCs w:val="24"/>
          <w:u w:val="single"/>
        </w:rPr>
        <w:t>Gender Diversity and Corporate Performance</w:t>
      </w:r>
      <w:r>
        <w:rPr>
          <w:rFonts w:ascii="Times New Roman" w:eastAsia="Times New Roman" w:hAnsi="Times New Roman" w:cs="Times New Roman"/>
          <w:sz w:val="24"/>
          <w:szCs w:val="24"/>
        </w:rPr>
        <w:t xml:space="preserve"> (2012), https://wappp.hks.harvard.edu/files/wappp/files/gender_diversity.pdf.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1" w14:textId="77777777" w:rsidR="00711B04" w:rsidRDefault="00711B04">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0" w14:textId="77777777" w:rsidR="00711B04" w:rsidRDefault="00711B0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EB3"/>
    <w:multiLevelType w:val="multilevel"/>
    <w:tmpl w:val="2F0411B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A75F2E"/>
    <w:multiLevelType w:val="multilevel"/>
    <w:tmpl w:val="81CC01D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3DB49E1"/>
    <w:multiLevelType w:val="multilevel"/>
    <w:tmpl w:val="E64C8BE2"/>
    <w:lvl w:ilvl="0">
      <w:start w:val="1"/>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8DB1ACD"/>
    <w:multiLevelType w:val="multilevel"/>
    <w:tmpl w:val="D38E6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8A21D4"/>
    <w:multiLevelType w:val="multilevel"/>
    <w:tmpl w:val="14D2170E"/>
    <w:lvl w:ilvl="0">
      <w:start w:val="1"/>
      <w:numFmt w:val="upperLetter"/>
      <w:lvlText w:val="%1."/>
      <w:lvlJc w:val="left"/>
      <w:pPr>
        <w:ind w:left="1440" w:hanging="360"/>
      </w:pPr>
      <w:rPr>
        <w:rFonts w:ascii="Times New Roman" w:eastAsia="Times New Roman" w:hAnsi="Times New Roman" w:cs="Times New Roman"/>
        <w:b w:val="0"/>
        <w:sz w:val="24"/>
        <w:szCs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B435FFD"/>
    <w:multiLevelType w:val="multilevel"/>
    <w:tmpl w:val="6302D6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D346FF5"/>
    <w:multiLevelType w:val="multilevel"/>
    <w:tmpl w:val="D9D09D8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15:restartNumberingAfterBreak="0">
    <w:nsid w:val="45E65596"/>
    <w:multiLevelType w:val="multilevel"/>
    <w:tmpl w:val="3EF6E8EE"/>
    <w:lvl w:ilvl="0">
      <w:start w:val="1"/>
      <w:numFmt w:val="decimal"/>
      <w:lvlText w:val="%1."/>
      <w:lvlJc w:val="left"/>
      <w:pPr>
        <w:ind w:left="2160" w:hanging="360"/>
      </w:pPr>
      <w:rPr>
        <w:color w:val="000000"/>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4C4823CD"/>
    <w:multiLevelType w:val="multilevel"/>
    <w:tmpl w:val="2F2624FC"/>
    <w:lvl w:ilvl="0">
      <w:start w:val="1"/>
      <w:numFmt w:val="upperLetter"/>
      <w:lvlText w:val="%1."/>
      <w:lvlJc w:val="left"/>
      <w:pPr>
        <w:ind w:left="1440" w:hanging="360"/>
      </w:pPr>
      <w:rPr>
        <w:color w:val="000000"/>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4F0B1E7D"/>
    <w:multiLevelType w:val="multilevel"/>
    <w:tmpl w:val="A408330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25B456B"/>
    <w:multiLevelType w:val="multilevel"/>
    <w:tmpl w:val="A23455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4870DC5"/>
    <w:multiLevelType w:val="multilevel"/>
    <w:tmpl w:val="FEE06B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11F273C"/>
    <w:multiLevelType w:val="multilevel"/>
    <w:tmpl w:val="E8441CCA"/>
    <w:lvl w:ilvl="0">
      <w:start w:val="1"/>
      <w:numFmt w:val="upperRoman"/>
      <w:lvlText w:val="%1I."/>
      <w:lvlJc w:val="right"/>
      <w:pPr>
        <w:ind w:left="72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66EF2CD6"/>
    <w:multiLevelType w:val="multilevel"/>
    <w:tmpl w:val="8E84E33E"/>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8D03EC8"/>
    <w:multiLevelType w:val="multilevel"/>
    <w:tmpl w:val="87C0511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6A8C5D03"/>
    <w:multiLevelType w:val="multilevel"/>
    <w:tmpl w:val="0B4E184E"/>
    <w:lvl w:ilvl="0">
      <w:start w:val="2"/>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6B294A02"/>
    <w:multiLevelType w:val="multilevel"/>
    <w:tmpl w:val="F9D881A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6BB60147"/>
    <w:multiLevelType w:val="multilevel"/>
    <w:tmpl w:val="6A8043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6BB83F59"/>
    <w:multiLevelType w:val="multilevel"/>
    <w:tmpl w:val="F6107D64"/>
    <w:lvl w:ilvl="0">
      <w:start w:val="2"/>
      <w:numFmt w:val="upperLetter"/>
      <w:lvlText w:val="%1."/>
      <w:lvlJc w:val="left"/>
      <w:pPr>
        <w:ind w:left="108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0"/>
  </w:num>
  <w:num w:numId="2">
    <w:abstractNumId w:val="0"/>
  </w:num>
  <w:num w:numId="3">
    <w:abstractNumId w:val="6"/>
  </w:num>
  <w:num w:numId="4">
    <w:abstractNumId w:val="17"/>
  </w:num>
  <w:num w:numId="5">
    <w:abstractNumId w:val="8"/>
  </w:num>
  <w:num w:numId="6">
    <w:abstractNumId w:val="1"/>
  </w:num>
  <w:num w:numId="7">
    <w:abstractNumId w:val="18"/>
  </w:num>
  <w:num w:numId="8">
    <w:abstractNumId w:val="13"/>
  </w:num>
  <w:num w:numId="9">
    <w:abstractNumId w:val="2"/>
  </w:num>
  <w:num w:numId="10">
    <w:abstractNumId w:val="12"/>
  </w:num>
  <w:num w:numId="11">
    <w:abstractNumId w:val="16"/>
  </w:num>
  <w:num w:numId="12">
    <w:abstractNumId w:val="5"/>
  </w:num>
  <w:num w:numId="13">
    <w:abstractNumId w:val="9"/>
  </w:num>
  <w:num w:numId="14">
    <w:abstractNumId w:val="4"/>
  </w:num>
  <w:num w:numId="15">
    <w:abstractNumId w:val="15"/>
  </w:num>
  <w:num w:numId="16">
    <w:abstractNumId w:val="14"/>
  </w:num>
  <w:num w:numId="17">
    <w:abstractNumId w:val="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2A"/>
    <w:rsid w:val="001351FD"/>
    <w:rsid w:val="001652EF"/>
    <w:rsid w:val="002363A9"/>
    <w:rsid w:val="003315F8"/>
    <w:rsid w:val="003577B4"/>
    <w:rsid w:val="003E1A60"/>
    <w:rsid w:val="005D5EA8"/>
    <w:rsid w:val="00630A8F"/>
    <w:rsid w:val="006561EB"/>
    <w:rsid w:val="00693997"/>
    <w:rsid w:val="006B4516"/>
    <w:rsid w:val="00711B04"/>
    <w:rsid w:val="00B12EBE"/>
    <w:rsid w:val="00B22770"/>
    <w:rsid w:val="00B45EF2"/>
    <w:rsid w:val="00E54B5B"/>
    <w:rsid w:val="00F1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9B4C0D5"/>
  <w15:docId w15:val="{F8E4294A-52D2-FF4F-BBAE-748A9A8A9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22770"/>
    <w:pPr>
      <w:tabs>
        <w:tab w:val="center" w:pos="4680"/>
        <w:tab w:val="right" w:pos="9360"/>
      </w:tabs>
      <w:spacing w:line="240" w:lineRule="auto"/>
    </w:pPr>
  </w:style>
  <w:style w:type="character" w:customStyle="1" w:styleId="HeaderChar">
    <w:name w:val="Header Char"/>
    <w:basedOn w:val="DefaultParagraphFont"/>
    <w:link w:val="Header"/>
    <w:uiPriority w:val="99"/>
    <w:rsid w:val="00B22770"/>
  </w:style>
  <w:style w:type="paragraph" w:styleId="Footer">
    <w:name w:val="footer"/>
    <w:basedOn w:val="Normal"/>
    <w:link w:val="FooterChar"/>
    <w:uiPriority w:val="99"/>
    <w:unhideWhenUsed/>
    <w:rsid w:val="00B22770"/>
    <w:pPr>
      <w:tabs>
        <w:tab w:val="center" w:pos="4680"/>
        <w:tab w:val="right" w:pos="9360"/>
      </w:tabs>
      <w:spacing w:line="240" w:lineRule="auto"/>
    </w:pPr>
  </w:style>
  <w:style w:type="character" w:customStyle="1" w:styleId="FooterChar">
    <w:name w:val="Footer Char"/>
    <w:basedOn w:val="DefaultParagraphFont"/>
    <w:link w:val="Footer"/>
    <w:uiPriority w:val="99"/>
    <w:rsid w:val="00B22770"/>
  </w:style>
  <w:style w:type="character" w:styleId="Hyperlink">
    <w:name w:val="Hyperlink"/>
    <w:basedOn w:val="DefaultParagraphFont"/>
    <w:uiPriority w:val="99"/>
    <w:unhideWhenUsed/>
    <w:rsid w:val="00711B04"/>
    <w:rPr>
      <w:color w:val="0000FF" w:themeColor="hyperlink"/>
      <w:u w:val="single"/>
    </w:rPr>
  </w:style>
  <w:style w:type="character" w:customStyle="1" w:styleId="UnresolvedMention">
    <w:name w:val="Unresolved Mention"/>
    <w:basedOn w:val="DefaultParagraphFont"/>
    <w:uiPriority w:val="99"/>
    <w:semiHidden/>
    <w:unhideWhenUsed/>
    <w:rsid w:val="00711B04"/>
    <w:rPr>
      <w:color w:val="605E5C"/>
      <w:shd w:val="clear" w:color="auto" w:fill="E1DFDD"/>
    </w:rPr>
  </w:style>
  <w:style w:type="paragraph" w:styleId="FootnoteText">
    <w:name w:val="footnote text"/>
    <w:basedOn w:val="Normal"/>
    <w:link w:val="FootnoteTextChar"/>
    <w:uiPriority w:val="99"/>
    <w:semiHidden/>
    <w:unhideWhenUsed/>
    <w:rsid w:val="00630A8F"/>
    <w:pPr>
      <w:spacing w:line="240" w:lineRule="auto"/>
    </w:pPr>
    <w:rPr>
      <w:sz w:val="20"/>
      <w:szCs w:val="20"/>
    </w:rPr>
  </w:style>
  <w:style w:type="character" w:customStyle="1" w:styleId="FootnoteTextChar">
    <w:name w:val="Footnote Text Char"/>
    <w:basedOn w:val="DefaultParagraphFont"/>
    <w:link w:val="FootnoteText"/>
    <w:uiPriority w:val="99"/>
    <w:semiHidden/>
    <w:rsid w:val="00630A8F"/>
    <w:rPr>
      <w:sz w:val="20"/>
      <w:szCs w:val="20"/>
    </w:rPr>
  </w:style>
  <w:style w:type="paragraph" w:styleId="EndnoteText">
    <w:name w:val="endnote text"/>
    <w:basedOn w:val="Normal"/>
    <w:link w:val="EndnoteTextChar"/>
    <w:uiPriority w:val="99"/>
    <w:semiHidden/>
    <w:unhideWhenUsed/>
    <w:rsid w:val="00630A8F"/>
    <w:pPr>
      <w:spacing w:line="240" w:lineRule="auto"/>
    </w:pPr>
    <w:rPr>
      <w:sz w:val="20"/>
      <w:szCs w:val="20"/>
    </w:rPr>
  </w:style>
  <w:style w:type="character" w:customStyle="1" w:styleId="EndnoteTextChar">
    <w:name w:val="Endnote Text Char"/>
    <w:basedOn w:val="DefaultParagraphFont"/>
    <w:link w:val="EndnoteText"/>
    <w:uiPriority w:val="99"/>
    <w:semiHidden/>
    <w:rsid w:val="00630A8F"/>
    <w:rPr>
      <w:sz w:val="20"/>
      <w:szCs w:val="20"/>
    </w:rPr>
  </w:style>
  <w:style w:type="character" w:styleId="FootnoteReference">
    <w:name w:val="footnote reference"/>
    <w:basedOn w:val="DefaultParagraphFont"/>
    <w:uiPriority w:val="99"/>
    <w:semiHidden/>
    <w:unhideWhenUsed/>
    <w:rsid w:val="00630A8F"/>
    <w:rPr>
      <w:vertAlign w:val="superscript"/>
    </w:rPr>
  </w:style>
  <w:style w:type="character" w:styleId="EndnoteReference">
    <w:name w:val="endnote reference"/>
    <w:basedOn w:val="DefaultParagraphFont"/>
    <w:uiPriority w:val="99"/>
    <w:semiHidden/>
    <w:unhideWhenUsed/>
    <w:rsid w:val="00630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3194">
      <w:bodyDiv w:val="1"/>
      <w:marLeft w:val="0"/>
      <w:marRight w:val="0"/>
      <w:marTop w:val="0"/>
      <w:marBottom w:val="0"/>
      <w:divBdr>
        <w:top w:val="none" w:sz="0" w:space="0" w:color="auto"/>
        <w:left w:val="none" w:sz="0" w:space="0" w:color="auto"/>
        <w:bottom w:val="none" w:sz="0" w:space="0" w:color="auto"/>
        <w:right w:val="none" w:sz="0" w:space="0" w:color="auto"/>
      </w:divBdr>
    </w:div>
    <w:div w:id="1812553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44</Pages>
  <Words>11977</Words>
  <Characters>68271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McCloskey</cp:lastModifiedBy>
  <cp:revision>4</cp:revision>
  <dcterms:created xsi:type="dcterms:W3CDTF">2021-02-22T15:12:00Z</dcterms:created>
  <dcterms:modified xsi:type="dcterms:W3CDTF">2021-03-17T18:37:00Z</dcterms:modified>
</cp:coreProperties>
</file>