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1044" w14:textId="6FA745AB" w:rsidR="00682626" w:rsidRPr="00A63B04" w:rsidRDefault="00A63B04" w:rsidP="00A63B04">
      <w:pPr>
        <w:jc w:val="center"/>
        <w:rPr>
          <w:b/>
          <w:sz w:val="36"/>
          <w:szCs w:val="36"/>
        </w:rPr>
      </w:pPr>
      <w:r w:rsidRPr="00A63B04">
        <w:rPr>
          <w:b/>
          <w:sz w:val="36"/>
          <w:szCs w:val="36"/>
        </w:rPr>
        <w:t>Family Medicine – R</w:t>
      </w:r>
      <w:r w:rsidR="00DA47DC">
        <w:rPr>
          <w:b/>
          <w:sz w:val="36"/>
          <w:szCs w:val="36"/>
        </w:rPr>
        <w:t>esearch and Scholarship Day 2026</w:t>
      </w:r>
    </w:p>
    <w:p w14:paraId="6A431FD4" w14:textId="6974099E" w:rsidR="00A63B04" w:rsidRPr="00A63B04" w:rsidRDefault="00A63B04" w:rsidP="00A63B04">
      <w:pPr>
        <w:jc w:val="center"/>
        <w:rPr>
          <w:b/>
          <w:sz w:val="28"/>
          <w:szCs w:val="28"/>
        </w:rPr>
      </w:pPr>
      <w:r w:rsidRPr="00A63B04">
        <w:rPr>
          <w:b/>
          <w:sz w:val="28"/>
          <w:szCs w:val="28"/>
        </w:rPr>
        <w:t>Oral Presentation Abstracts</w:t>
      </w:r>
    </w:p>
    <w:p w14:paraId="6AD8D7B3" w14:textId="2466459B" w:rsidR="00104E86" w:rsidRPr="004C23AA" w:rsidRDefault="00104E86" w:rsidP="00104E86">
      <w:pPr>
        <w:rPr>
          <w:b/>
        </w:rPr>
      </w:pPr>
      <w:r>
        <w:rPr>
          <w:b/>
        </w:rPr>
        <w:t xml:space="preserve">Oral Presentation 1: </w:t>
      </w:r>
      <w:r w:rsidR="00207D4F" w:rsidRPr="00207D4F">
        <w:rPr>
          <w:b/>
        </w:rPr>
        <w:t>Variables Predicting Discharge to Post-Acute Care for Hospitalized Adult Patients with and without Cognitive Impairment</w:t>
      </w:r>
    </w:p>
    <w:p w14:paraId="2E492D97" w14:textId="7031F529" w:rsidR="00852712" w:rsidRPr="004C23AA" w:rsidRDefault="00E941DC" w:rsidP="00852712">
      <w:pPr>
        <w:rPr>
          <w:i/>
        </w:rPr>
      </w:pPr>
      <w:r>
        <w:rPr>
          <w:i/>
        </w:rPr>
        <w:t>Joo Lee, Mary Slavin, Chanel Chung, Vatsal Mangal, Maya Jones</w:t>
      </w:r>
    </w:p>
    <w:p w14:paraId="76E53A3D" w14:textId="77777777" w:rsidR="00AF0EF9" w:rsidRDefault="00E94CAF" w:rsidP="00E94CAF">
      <w:r w:rsidRPr="00E94CAF">
        <w:t xml:space="preserve">Objective: To identify personal and clinical variables that predict post-acute care (PAC) versus home discharge among hospitalized adults. A secondary objective examined differences based on patients’ cognitive status. </w:t>
      </w:r>
    </w:p>
    <w:p w14:paraId="146A80A4" w14:textId="77777777" w:rsidR="00AF0EF9" w:rsidRDefault="00E94CAF" w:rsidP="00E94CAF">
      <w:r w:rsidRPr="00E94CAF">
        <w:t xml:space="preserve">Design: This cross-sectional, prospective, observational study collected electronic health record (EHR) and REDCap survey data to examine variables that predicted discharge to PAC among hospitalized patients. Multivariate logistic regression analyses identified independent predictors. To </w:t>
      </w:r>
      <w:proofErr w:type="gramStart"/>
      <w:r w:rsidRPr="00E94CAF">
        <w:t>assess for</w:t>
      </w:r>
      <w:proofErr w:type="gramEnd"/>
      <w:r w:rsidRPr="00E94CAF">
        <w:t xml:space="preserve"> potential effect modification by cognitive status, patients were stratified into those with and without cognitive impairments and separate adjusted models were performed for each subgroup. </w:t>
      </w:r>
    </w:p>
    <w:p w14:paraId="2C1C2967" w14:textId="77777777" w:rsidR="00AF0EF9" w:rsidRDefault="00E94CAF" w:rsidP="00E94CAF">
      <w:r w:rsidRPr="00E94CAF">
        <w:t xml:space="preserve">Setting: Reported findings from an urban safety-net hospital located in Boston, MA. Participants: A total of 629 participants admitted between February 2024 and January 2025 aged 18 and older were recruited for the study. Demographic characteristics: age (mean = 72.1 years, SD = ±10.2, range = 26-92); biological sex = 50.9% Female; race = 51.5% Black or African American, 37.8% White, 0.5% Asian, 0.2% Indian American or Alaskan Native, 7.3% other, and 2.7% unspecified. Recruitment aimed to ensure representation of patients with cognitive impairments (determined through ICD-10 codes), and the final sample included 40.9% with and 59.1% without cognitive impairment. Main Outcome Measure(s): The primary outcome was the discharge disposition (Institutional PAC vs. home) confirmed via EHR documentation after discharge </w:t>
      </w:r>
    </w:p>
    <w:p w14:paraId="7EE0D12B" w14:textId="77777777" w:rsidR="00E941DC" w:rsidRDefault="00E94CAF" w:rsidP="00E94CAF">
      <w:r w:rsidRPr="00E94CAF">
        <w:t xml:space="preserve">Results: PAC discharge was significantly associated with need for assistance (independent to total), length of stay (LOS), mobility impairment (AM-PAC 6 Clicks), and depression (PHQ2 scores) Compared with patients identified as independent, those requiring assistance had progressively greater odds of discharge to institutional PAC: minimal assistance (OR, 4.05; 95% CI, 2.35–7.01) to total assistance (OR, 13.9; 95% CI, 4.50–42.9). Longer LOS was also associated with increased odds of institutional PAC discharge (OR, 1.13; 95% CI, 1.08 - 1.18). Patients with a mobility impairment ≥50% (AM-PAC 12-17) had higher odds (OR, 3.82; 95% CI, 1.67–8.74) of being discharged to institutional PAC. A positive depression screen (PHQ-2 ≥3) increased the PAC discharge odds (OR, 1.72; 95% CI, 1.10-2.70). Stratified analyses showed variable associations for PAC discharge among patients with and without cognitive impairments. For example, patients without cognitive impairments who required moderate and maximum assistance had increased odds for PAC discharge, compared to those with cognitive impairments. </w:t>
      </w:r>
    </w:p>
    <w:p w14:paraId="74840070" w14:textId="57E4C830" w:rsidR="00E94CAF" w:rsidRPr="00E94CAF" w:rsidRDefault="00E94CAF" w:rsidP="00E94CAF">
      <w:r w:rsidRPr="00E94CAF">
        <w:t>Conclusion(s): Assistance needs, mobility impairment, and depression predicted PAC discharge, with stronger associations among patients without cognitive impairment. Future work will examine findings comparing discharge to different institutional PAC settings.</w:t>
      </w:r>
    </w:p>
    <w:p w14:paraId="33D8E6C8" w14:textId="77777777" w:rsidR="00517B71" w:rsidRDefault="00517B71">
      <w:pPr>
        <w:rPr>
          <w:b/>
        </w:rPr>
      </w:pPr>
      <w:r>
        <w:rPr>
          <w:b/>
        </w:rPr>
        <w:br w:type="page"/>
      </w:r>
    </w:p>
    <w:p w14:paraId="45796394" w14:textId="6D962366" w:rsidR="00104E86" w:rsidRPr="004C23AA" w:rsidRDefault="00104E86" w:rsidP="00104E86">
      <w:pPr>
        <w:rPr>
          <w:b/>
        </w:rPr>
      </w:pPr>
      <w:r>
        <w:rPr>
          <w:b/>
        </w:rPr>
        <w:lastRenderedPageBreak/>
        <w:t xml:space="preserve">Oral Presentation 2: </w:t>
      </w:r>
      <w:r w:rsidR="00E1557C" w:rsidRPr="00E1557C">
        <w:rPr>
          <w:b/>
        </w:rPr>
        <w:t>Incomplete Baby-Friendly Breastfeeding Support: A Qualitative study among Black patients</w:t>
      </w:r>
    </w:p>
    <w:p w14:paraId="26E35E3E" w14:textId="34D9B07B" w:rsidR="00852712" w:rsidRPr="004C23AA" w:rsidRDefault="00517B71" w:rsidP="00852712">
      <w:pPr>
        <w:rPr>
          <w:i/>
        </w:rPr>
      </w:pPr>
      <w:r>
        <w:rPr>
          <w:i/>
        </w:rPr>
        <w:t xml:space="preserve">Cecelia Plaehn, </w:t>
      </w:r>
      <w:r w:rsidR="00852712" w:rsidRPr="004C23AA">
        <w:rPr>
          <w:i/>
        </w:rPr>
        <w:t xml:space="preserve">Katherine </w:t>
      </w:r>
      <w:r w:rsidR="00852712">
        <w:rPr>
          <w:i/>
        </w:rPr>
        <w:t>R. Standish</w:t>
      </w:r>
    </w:p>
    <w:p w14:paraId="4592DC13" w14:textId="77777777" w:rsidR="00C23D38" w:rsidRDefault="00C23D38" w:rsidP="00C23D38">
      <w:r w:rsidRPr="00C23D38">
        <w:t xml:space="preserve">Background: Health benefits of breastfeeding for infants and parents are widely described in medical literature and understood by parents of many backgrounds. Yet significant disparities exist in exclusive breastfeeding rates exist among races. Baby Friendly certification is a model that encourages hospital policies which support breastfeeding and is a potential tool to help reduce disparities. Exclusive breastfeeding is predicted by breastfeeding in delivery </w:t>
      </w:r>
      <w:proofErr w:type="gramStart"/>
      <w:r w:rsidRPr="00C23D38">
        <w:t>hospitalization,</w:t>
      </w:r>
      <w:proofErr w:type="gramEnd"/>
      <w:r w:rsidRPr="00C23D38">
        <w:t xml:space="preserve"> thus we undertook to explore parents' experience of breastfeeding support at two Baby Friendly hospitals in Massachusetts. </w:t>
      </w:r>
    </w:p>
    <w:p w14:paraId="75206F66" w14:textId="77777777" w:rsidR="00C23D38" w:rsidRDefault="00C23D38" w:rsidP="00C23D38">
      <w:r w:rsidRPr="00C23D38">
        <w:t xml:space="preserve">Methods: Twelve parents who self-identified as Black who delivered </w:t>
      </w:r>
      <w:proofErr w:type="gramStart"/>
      <w:r w:rsidRPr="00C23D38">
        <w:t>at</w:t>
      </w:r>
      <w:proofErr w:type="gramEnd"/>
      <w:r w:rsidRPr="00C23D38">
        <w:t xml:space="preserve"> Baby-Friendly hospitals were interviewed about their experience. Participants were selected from previous respondents recruited for cross-sectional survey conducted at these hospitals. Interviews were de-identified and subsequently reviewed broadly for content related to Steps 3-10 of the Baby Friendly 10 Steps as well as Levels of Racism themes. </w:t>
      </w:r>
    </w:p>
    <w:p w14:paraId="601EE769" w14:textId="77777777" w:rsidR="00C23D38" w:rsidRDefault="00C23D38" w:rsidP="00C23D38">
      <w:r w:rsidRPr="00C23D38">
        <w:t xml:space="preserve">Results: Participants reported limited education regarding breastfeeding benefits and practice in their prenatal care. Skin-to-skin was often initiated within one hour of birth, but it was often interrupted by medical needs and nursing needs. Participants overall endorsed support in initiating and maintaining breast feeding from hospital staff. Multiparous participants felt they were offered less support. Patients felt lactation consultants were likely to be rushed and overworked. Infants frequently </w:t>
      </w:r>
      <w:proofErr w:type="gramStart"/>
      <w:r w:rsidRPr="00C23D38">
        <w:t>received</w:t>
      </w:r>
      <w:proofErr w:type="gramEnd"/>
      <w:r w:rsidRPr="00C23D38">
        <w:t xml:space="preserve"> formula in the hospital. Parents reported rooming in for </w:t>
      </w:r>
      <w:proofErr w:type="gramStart"/>
      <w:r w:rsidRPr="00C23D38">
        <w:t>the majority of</w:t>
      </w:r>
      <w:proofErr w:type="gramEnd"/>
      <w:r w:rsidRPr="00C23D38">
        <w:t xml:space="preserve"> their hospitalization. Families did not reference printed information to support breastfeeding after discharge. Multiple parents lamented a lack of staff who shared their same race. Many participants were hesitant to attribute aspects of their treatment as being influenced by their race. Some parents shared that their care was delayed or reduced due to their race, particularly their pain management. </w:t>
      </w:r>
    </w:p>
    <w:p w14:paraId="1845B108" w14:textId="785E98F5" w:rsidR="00C23D38" w:rsidRPr="00C23D38" w:rsidRDefault="00C23D38" w:rsidP="00C23D38">
      <w:r w:rsidRPr="00C23D38">
        <w:t>Discussion: These results demonstrate limitations in the application of the Ten Steps in the included hospitals and can guide efforts at implementing Baby Friendly practices more consistently. Results also identify racist structures and interpersonal effects that parallel reports by hospital staff. Findings were limited by lack of “thematic saturation</w:t>
      </w:r>
      <w:proofErr w:type="gramStart"/>
      <w:r w:rsidRPr="00C23D38">
        <w:t>”</w:t>
      </w:r>
      <w:proofErr w:type="gramEnd"/>
      <w:r w:rsidRPr="00C23D38">
        <w:t xml:space="preserve"> and additional patient reports may reveal other practices or interactions which can impact efforts toward more equitable care and outcomes.</w:t>
      </w:r>
    </w:p>
    <w:p w14:paraId="118D8942" w14:textId="5492C3ED" w:rsidR="00F065FF" w:rsidRDefault="00F065FF">
      <w:pPr>
        <w:rPr>
          <w:b/>
        </w:rPr>
      </w:pPr>
    </w:p>
    <w:p w14:paraId="3047BDC0" w14:textId="34C8AC7A" w:rsidR="00104E86" w:rsidRPr="004C23AA" w:rsidRDefault="00104E86" w:rsidP="00104E86">
      <w:pPr>
        <w:rPr>
          <w:b/>
        </w:rPr>
      </w:pPr>
      <w:r>
        <w:rPr>
          <w:b/>
        </w:rPr>
        <w:t xml:space="preserve">Oral Presentation 3: </w:t>
      </w:r>
      <w:r w:rsidR="00852712" w:rsidRPr="00852712">
        <w:rPr>
          <w:b/>
        </w:rPr>
        <w:t>Interventions to Improve Breastfeeding Outcomes in Mothers with Opioid Use Disorder: A Scoping Review</w:t>
      </w:r>
    </w:p>
    <w:p w14:paraId="3E1E94DC" w14:textId="39C8901B" w:rsidR="00852712" w:rsidRPr="004C23AA" w:rsidRDefault="00F065FF" w:rsidP="00852712">
      <w:pPr>
        <w:rPr>
          <w:i/>
        </w:rPr>
      </w:pPr>
      <w:r>
        <w:rPr>
          <w:i/>
        </w:rPr>
        <w:t>Corrine Grady, Katherine R. Standish, Khushbu Patel</w:t>
      </w:r>
    </w:p>
    <w:p w14:paraId="5BD01EA1" w14:textId="77777777" w:rsidR="00994EF3" w:rsidRDefault="00994EF3" w:rsidP="00994EF3">
      <w:r w:rsidRPr="00994EF3">
        <w:t xml:space="preserve">Background: Breastfeeding has significant benefits for infants with prenatal opioid exposure however rates of initiation, duration and exclusivity are lower than in the general population. Objective: This scoping review aimed to identify and describe interventions that impact breastfeeding outcomes in opioid-exposed infants. </w:t>
      </w:r>
    </w:p>
    <w:p w14:paraId="12ECCB4B" w14:textId="77777777" w:rsidR="00994EF3" w:rsidRDefault="00994EF3" w:rsidP="00994EF3">
      <w:r w:rsidRPr="00994EF3">
        <w:t xml:space="preserve">Methods: We searched PubMed, Medline and Web of Science for articles published in English since 2000 that reported on breastfeeding outcome (initiation, duration, discharge, or exclusivity) following </w:t>
      </w:r>
      <w:r w:rsidRPr="00994EF3">
        <w:lastRenderedPageBreak/>
        <w:t xml:space="preserve">interventions in mothers with opioid use disorder and opioid-exposed infants. We further established in our eligibility criteria that the study design had to be comparative in nature (e.g., pre-post data). We conducted level one screening of titles and abstracts as well as level two screening for full texts with three independent reviewers. Relevant data was extracted using a pre-defined charting form. </w:t>
      </w:r>
    </w:p>
    <w:p w14:paraId="2686B860" w14:textId="77777777" w:rsidR="00994EF3" w:rsidRDefault="00994EF3" w:rsidP="00994EF3">
      <w:r w:rsidRPr="00994EF3">
        <w:t xml:space="preserve">Results: Level one screening was performed on 553 articles, of which 494 articles were excluded, including 49 duplicates. Full-text review was conducted on 24 articles. Across 23 eligible articles, different types of interventions used were rooming-in (n=6), comprehensive prenatal/SUD programs (n=4), Eat, Sleep, Console (ESC) (n=4), and specialized support or outpatient models (n=9). A total of 5,228 participants were included across these articles, with studies conducted in Canada (n=5), USA (n=14), United Kingdom (n=1), Scotland (n=1), and Australia (n=2). Study designs consisted of retrospective chart reviews with pre/post intervention design (n=15), quality improvement (n=4), randomized control trial (n=3), and prospective cohort study (n=1). Interventions generally led to improved breastfeeding outcomes, with eleven articles reporting statistically significant improvements. Sixteen studies reported on breastfeeding initiation, thirteen on breastfeeding rates at discharge, nine on exclusive breastfeeding and three on breastfeeding duration. Key findings highlighted significant increases in breastfeeding initiation, exclusive breastmilk usage, direct breastfeeding, and breastfeeding rates at discharge, with some studies reporting initiation rates rising from approximately 50% to over 85% following intervention implementation. </w:t>
      </w:r>
    </w:p>
    <w:p w14:paraId="6A8AC8A2" w14:textId="213FC574" w:rsidR="00994EF3" w:rsidRPr="00994EF3" w:rsidRDefault="00994EF3" w:rsidP="00994EF3">
      <w:r w:rsidRPr="00994EF3">
        <w:t>Conclusions: Multiple interventions, such as rooming-in, ESC, and comprehensive prenatal breastfeeding education tailored to OUD, have been shown to improve breastfeeding initiation and exclusivity among mother-infant dyads affected by opioid use while simultaneously reducing NICU admissions, the need for pharmacological treatment, and increasing maintenance of maternal custody.</w:t>
      </w:r>
    </w:p>
    <w:p w14:paraId="5409F866" w14:textId="1D734D97" w:rsidR="006C6AA4" w:rsidRDefault="006C6AA4">
      <w:pPr>
        <w:rPr>
          <w:b/>
        </w:rPr>
      </w:pPr>
    </w:p>
    <w:p w14:paraId="6F002404" w14:textId="706E56EF" w:rsidR="009A55A5" w:rsidRPr="004C23AA" w:rsidRDefault="009A55A5" w:rsidP="009A55A5">
      <w:pPr>
        <w:rPr>
          <w:b/>
        </w:rPr>
      </w:pPr>
      <w:r>
        <w:rPr>
          <w:b/>
        </w:rPr>
        <w:t xml:space="preserve">Oral Presentation </w:t>
      </w:r>
      <w:r w:rsidR="00104E86">
        <w:rPr>
          <w:b/>
        </w:rPr>
        <w:t>4</w:t>
      </w:r>
      <w:r>
        <w:rPr>
          <w:b/>
        </w:rPr>
        <w:t xml:space="preserve">: </w:t>
      </w:r>
      <w:r w:rsidR="00AA28C1" w:rsidRPr="00AA28C1">
        <w:rPr>
          <w:b/>
        </w:rPr>
        <w:t>Baby-Friendly Hospital Staff Perspectives on the Impact of Institutionalized and Personally Mediated Racism on Breastfeeding Support for Black Patients</w:t>
      </w:r>
    </w:p>
    <w:p w14:paraId="7372923B" w14:textId="0BADF925" w:rsidR="009A55A5" w:rsidRPr="004C23AA" w:rsidRDefault="009A55A5" w:rsidP="009A55A5">
      <w:pPr>
        <w:rPr>
          <w:i/>
        </w:rPr>
      </w:pPr>
      <w:r w:rsidRPr="004C23AA">
        <w:rPr>
          <w:i/>
        </w:rPr>
        <w:t xml:space="preserve">Katherine </w:t>
      </w:r>
      <w:r w:rsidR="00AA28C1">
        <w:rPr>
          <w:i/>
        </w:rPr>
        <w:t>R. Standish, Afi Mansa Semenya, Alycia Dymond, Candace Smith, Hanna Emanuel, Brianna Clark, Kim Gadsen-Knowles</w:t>
      </w:r>
    </w:p>
    <w:p w14:paraId="09D0128B" w14:textId="77777777" w:rsidR="00AA28C1" w:rsidRDefault="00AA28C1" w:rsidP="00AA28C1">
      <w:r>
        <w:t xml:space="preserve">Introduction/Background: Institutionalized and personally mediated racism and bias are increasingly being recognized as drivers of maternal and child health disparities in the United States. Baby Friendly Hospital Initiative (BFHI) is a policy that has been shown to decrease the disparity in breastfeeding initiation between Black and white birthing individuals, by consistently applying </w:t>
      </w:r>
      <w:proofErr w:type="gramStart"/>
      <w:r>
        <w:t>evidence based</w:t>
      </w:r>
      <w:proofErr w:type="gramEnd"/>
      <w:r>
        <w:t xml:space="preserve"> care to all patients. However, racial disparities in breastfeeding persist at the time of hospital discharge in many settings. The role of racism and bias as drivers of continued disparities in breastfeeding has not been evaluated in Baby-Friendly hospitals. </w:t>
      </w:r>
      <w:r>
        <w:tab/>
      </w:r>
    </w:p>
    <w:p w14:paraId="0E6411D3" w14:textId="77777777" w:rsidR="00AA28C1" w:rsidRDefault="00AA28C1" w:rsidP="00AA28C1">
      <w:r>
        <w:t>Methods: We conducted in-depth qualitative interviews with 23 postpartum nurses, lactation consultants, and postpartum unit managers at 12 Baby-Friendly certified hospitals in Massachusetts. The study team coded transcripts and created a coding structure from emergent codes. We then organized themes into institutionalized or personally mediated racism, based on a standard framework of levels of racism, as well as solutions/innovations.</w:t>
      </w:r>
      <w:r>
        <w:rPr>
          <w:rFonts w:ascii="Tahoma" w:hAnsi="Tahoma" w:cs="Tahoma"/>
        </w:rPr>
        <w:t> </w:t>
      </w:r>
      <w:r>
        <w:tab/>
      </w:r>
    </w:p>
    <w:p w14:paraId="300C8F64" w14:textId="77777777" w:rsidR="00AA28C1" w:rsidRDefault="00AA28C1" w:rsidP="00AA28C1">
      <w:r>
        <w:lastRenderedPageBreak/>
        <w:t xml:space="preserve">Results: Among the 23 participants (Table 1), the impact of racism on breastfeeding support was described at both the institutionalized and personally mediated levels (Table 2). Themes that represented institutionalized racism included staff not reflecting patient population race/ethnicity or language, fear or retribution for speaking up about racism/bias, limited time/staffing for lactation support differentially impacting Black, Hispanic and immigrant families, inadequate language interpretation services, and lack of departmental support for justice, equity, diversity, inclusion (JEDI) trainings. Personally mediated racism was noted in implicit and explicit bias among staff, operationalized through racially discordant staff-patient interactions, and differential support given to white or high-income patients. Additionally, personally mediated and institutionalized factors intersected to further exacerbate disparities. For example, less time may be spent counseling on risks of formula use when lactation staffing is insufficient and the clinical staff have biases regarding infant feeding practices based on race. Multiple solutions and innovations at individual hospitals were reported, including hiring language-concordant lactation consultants or peer counselors, improving language interpretation services, perinatal-wide patient-centered interventions, and mandatory JEDI trainings. </w:t>
      </w:r>
    </w:p>
    <w:p w14:paraId="54C369BE" w14:textId="6CE5AA98" w:rsidR="009A55A5" w:rsidRDefault="00AA28C1" w:rsidP="00AA28C1">
      <w:r>
        <w:t>Conclusion: Both institutionalized and personally mediated racism and bias may be causes of disparities in breastfeeding support at Baby-Friendly hospitals. Hospitals and accrediting bodies should take measures to address racism in breastfeeding support.</w:t>
      </w:r>
    </w:p>
    <w:p w14:paraId="592D94FB" w14:textId="05DC8D03" w:rsidR="009879EB" w:rsidRPr="004C23AA" w:rsidRDefault="009879EB" w:rsidP="009879EB">
      <w:pPr>
        <w:rPr>
          <w:b/>
        </w:rPr>
      </w:pPr>
      <w:r>
        <w:rPr>
          <w:b/>
        </w:rPr>
        <w:t xml:space="preserve">Oral Presentation </w:t>
      </w:r>
      <w:r w:rsidR="006C6AA4">
        <w:rPr>
          <w:b/>
        </w:rPr>
        <w:t>5</w:t>
      </w:r>
      <w:r>
        <w:rPr>
          <w:b/>
        </w:rPr>
        <w:t xml:space="preserve">: </w:t>
      </w:r>
      <w:r w:rsidR="000E7485" w:rsidRPr="000E7485">
        <w:rPr>
          <w:b/>
        </w:rPr>
        <w:t>Designing a Discrete Choice Experiment to Inform Intervention Adaptation for High Linguistic Diversity Contexts</w:t>
      </w:r>
    </w:p>
    <w:p w14:paraId="44B95193" w14:textId="2BA57637" w:rsidR="009879EB" w:rsidRPr="004C23AA" w:rsidRDefault="00C70E83" w:rsidP="009879EB">
      <w:pPr>
        <w:rPr>
          <w:i/>
        </w:rPr>
      </w:pPr>
      <w:r>
        <w:rPr>
          <w:i/>
        </w:rPr>
        <w:t>Kirsten A</w:t>
      </w:r>
      <w:r w:rsidR="001B12E9">
        <w:rPr>
          <w:i/>
        </w:rPr>
        <w:t>u</w:t>
      </w:r>
      <w:r>
        <w:rPr>
          <w:i/>
        </w:rPr>
        <w:t>stad</w:t>
      </w:r>
    </w:p>
    <w:p w14:paraId="769881A8" w14:textId="0D3299CE" w:rsidR="001B12E9" w:rsidRDefault="00167049">
      <w:pPr>
        <w:rPr>
          <w:b/>
        </w:rPr>
      </w:pPr>
      <w:r w:rsidRPr="00167049">
        <w:t>This presentation describes the development of a discrete choice experiment (DCE) to inform the adaptation of a hospital discharge intervention for patients with non-English language preference (NELP) in a high linguistic diversity healthcare setting. Using evidence synthesis, stakeholder engagement, cognitive interviewing, and concurrent analysis of Spanish- and Haitian Creole-speaking participants, the study identified challenges related to comprehension, cultural relevance, and visual presentation, leading to iterative refinements such as warm-up choice sets, simplified text, and labeled images. The findings demonstrate that DCEs can be a valuable implementation science tool for incorporating the preferences of linguistically and culturally minoritized populations into intervention adaptation, provided they are developed through a rigorous and culturally responsive process</w:t>
      </w:r>
      <w:r>
        <w:t>.</w:t>
      </w:r>
    </w:p>
    <w:p w14:paraId="49914952" w14:textId="77777777" w:rsidR="00437B64" w:rsidRDefault="00437B64" w:rsidP="006C6AA4">
      <w:pPr>
        <w:rPr>
          <w:b/>
        </w:rPr>
      </w:pPr>
    </w:p>
    <w:p w14:paraId="46575B16" w14:textId="72EABFC4" w:rsidR="006C6AA4" w:rsidRPr="004C23AA" w:rsidRDefault="006C6AA4" w:rsidP="006C6AA4">
      <w:pPr>
        <w:rPr>
          <w:b/>
        </w:rPr>
      </w:pPr>
      <w:r>
        <w:rPr>
          <w:b/>
        </w:rPr>
        <w:t xml:space="preserve">Oral Presentation </w:t>
      </w:r>
      <w:r w:rsidR="001B12E9">
        <w:rPr>
          <w:b/>
        </w:rPr>
        <w:t>6</w:t>
      </w:r>
      <w:r>
        <w:rPr>
          <w:b/>
        </w:rPr>
        <w:t xml:space="preserve">: </w:t>
      </w:r>
      <w:r w:rsidR="003A4D97" w:rsidRPr="003A4D97">
        <w:rPr>
          <w:b/>
        </w:rPr>
        <w:t xml:space="preserve">Storytelling to Build Medical Trust: How community driven research can help make health equity </w:t>
      </w:r>
      <w:proofErr w:type="gramStart"/>
      <w:r w:rsidR="003A4D97" w:rsidRPr="003A4D97">
        <w:rPr>
          <w:b/>
        </w:rPr>
        <w:t>the reality</w:t>
      </w:r>
      <w:proofErr w:type="gramEnd"/>
    </w:p>
    <w:p w14:paraId="204E4073" w14:textId="0C9D8756" w:rsidR="006C6AA4" w:rsidRPr="004C23AA" w:rsidRDefault="001B12E9" w:rsidP="006C6AA4">
      <w:pPr>
        <w:rPr>
          <w:i/>
        </w:rPr>
      </w:pPr>
      <w:r w:rsidRPr="003A4D97">
        <w:rPr>
          <w:i/>
        </w:rPr>
        <w:t>Katherine Gergen-Barnett</w:t>
      </w:r>
    </w:p>
    <w:p w14:paraId="2EB10C32" w14:textId="5515EC45" w:rsidR="008F211F" w:rsidRDefault="001B12E9" w:rsidP="006C6AA4">
      <w:r w:rsidRPr="005208DF">
        <w:rPr>
          <w:highlight w:val="yellow"/>
        </w:rPr>
        <w:t>Synopsis TBD</w:t>
      </w:r>
    </w:p>
    <w:p w14:paraId="137795C2" w14:textId="77777777" w:rsidR="001B12E9" w:rsidRDefault="001B12E9">
      <w:pPr>
        <w:rPr>
          <w:b/>
        </w:rPr>
      </w:pPr>
      <w:r>
        <w:rPr>
          <w:b/>
        </w:rPr>
        <w:br w:type="page"/>
      </w:r>
    </w:p>
    <w:p w14:paraId="477E8EA4" w14:textId="4379726B" w:rsidR="001B12E9" w:rsidRPr="00A63B04" w:rsidRDefault="001B12E9" w:rsidP="001B12E9">
      <w:pPr>
        <w:jc w:val="center"/>
        <w:rPr>
          <w:b/>
          <w:sz w:val="28"/>
          <w:szCs w:val="28"/>
        </w:rPr>
      </w:pPr>
      <w:r>
        <w:rPr>
          <w:b/>
          <w:sz w:val="28"/>
          <w:szCs w:val="28"/>
        </w:rPr>
        <w:lastRenderedPageBreak/>
        <w:t>Poster</w:t>
      </w:r>
      <w:r w:rsidRPr="00A63B04">
        <w:rPr>
          <w:b/>
          <w:sz w:val="28"/>
          <w:szCs w:val="28"/>
        </w:rPr>
        <w:t xml:space="preserve"> Presentation Abstracts</w:t>
      </w:r>
    </w:p>
    <w:p w14:paraId="0119CEB0" w14:textId="1277D4AE" w:rsidR="006C6AA4" w:rsidRPr="004C23AA" w:rsidRDefault="00917C8B" w:rsidP="006C6AA4">
      <w:pPr>
        <w:rPr>
          <w:b/>
        </w:rPr>
      </w:pPr>
      <w:r>
        <w:rPr>
          <w:b/>
        </w:rPr>
        <w:t>Poster</w:t>
      </w:r>
      <w:r w:rsidR="006C6AA4">
        <w:rPr>
          <w:b/>
        </w:rPr>
        <w:t xml:space="preserve"> Presentation </w:t>
      </w:r>
      <w:r>
        <w:rPr>
          <w:b/>
        </w:rPr>
        <w:t>1</w:t>
      </w:r>
      <w:r w:rsidR="006C6AA4">
        <w:rPr>
          <w:b/>
        </w:rPr>
        <w:t xml:space="preserve">: </w:t>
      </w:r>
      <w:r w:rsidR="00CF29B7" w:rsidRPr="00CF29B7">
        <w:rPr>
          <w:b/>
        </w:rPr>
        <w:t>Improving Resident Clinic Handoffs in an Academic Family Medicine Residency</w:t>
      </w:r>
    </w:p>
    <w:p w14:paraId="561AEC09" w14:textId="46AC53F5" w:rsidR="006C6AA4" w:rsidRPr="004C23AA" w:rsidRDefault="00497AC1" w:rsidP="006C6AA4">
      <w:pPr>
        <w:rPr>
          <w:i/>
        </w:rPr>
      </w:pPr>
      <w:r>
        <w:rPr>
          <w:i/>
        </w:rPr>
        <w:t xml:space="preserve">Rachel Souza, </w:t>
      </w:r>
      <w:r w:rsidRPr="00497AC1">
        <w:rPr>
          <w:i/>
        </w:rPr>
        <w:t>Karina Suri, Isabella Brout, Kaylin Pennington, Suki Tepperberg</w:t>
      </w:r>
    </w:p>
    <w:p w14:paraId="7CB1A166" w14:textId="77777777" w:rsidR="004F72A9" w:rsidRPr="004F72A9" w:rsidRDefault="006C6AA4" w:rsidP="004F72A9">
      <w:r>
        <w:t>Introduction/Background:</w:t>
      </w:r>
      <w:r w:rsidR="004F72A9">
        <w:t xml:space="preserve"> </w:t>
      </w:r>
      <w:r w:rsidR="004F72A9" w:rsidRPr="004F72A9">
        <w:t>Year-end resident clinic handoffs impact approximately one million patients per year, yet there is minimal consensus regarding best practices. For patients at high risk of loss to follow-up, these necessary transitions of care pose significant challenges. Prior examples of multifaceted handoff interventions have improved patient follow-up and positively affected quality of care. We aim to implement a structured handoff protocol for high-risk patients at four continuity clinics within Boston Medical Center’s Family Medicine residency. Our goal is to increase warm handoff visits between graduating residents and new resident providers to ensure timely follow-up and safer transitions of care.</w:t>
      </w:r>
    </w:p>
    <w:p w14:paraId="5B345125" w14:textId="4589CBF4" w:rsidR="006C6AA4" w:rsidRDefault="006C6AA4" w:rsidP="006C6AA4"/>
    <w:p w14:paraId="665005D1" w14:textId="4C29E1BC" w:rsidR="00CF29B7" w:rsidRPr="004C23AA" w:rsidRDefault="00CF29B7" w:rsidP="00CF29B7">
      <w:pPr>
        <w:rPr>
          <w:b/>
        </w:rPr>
      </w:pPr>
      <w:r>
        <w:rPr>
          <w:b/>
        </w:rPr>
        <w:t xml:space="preserve">Poster Presentation 2: </w:t>
      </w:r>
      <w:r w:rsidR="005F38BF" w:rsidRPr="005F38BF">
        <w:rPr>
          <w:b/>
        </w:rPr>
        <w:t>Buprenorphine dosage trajectories during the first 24 weeks</w:t>
      </w:r>
    </w:p>
    <w:p w14:paraId="54D6CCB0" w14:textId="4B17CDFC" w:rsidR="006669E4" w:rsidRDefault="006669E4" w:rsidP="00094E94">
      <w:r w:rsidRPr="00094E94">
        <w:rPr>
          <w:i/>
        </w:rPr>
        <w:t>Alyssa S. Tilhou, Jiayi Wang,</w:t>
      </w:r>
      <w:r w:rsidR="00094E94" w:rsidRPr="00094E94">
        <w:rPr>
          <w:i/>
        </w:rPr>
        <w:t xml:space="preserve"> </w:t>
      </w:r>
      <w:r w:rsidRPr="00094E94">
        <w:rPr>
          <w:i/>
        </w:rPr>
        <w:t>Jungwun Lee, Jeffrey H. Samet, Marc Larochelle</w:t>
      </w:r>
    </w:p>
    <w:p w14:paraId="299D3620" w14:textId="77777777" w:rsidR="00094E94" w:rsidRDefault="006669E4" w:rsidP="00B27A18">
      <w:r w:rsidRPr="00094E94">
        <w:t>Aims: Buprenorphine treatment reduces opioid overdose mortality, but low retention limits its benefits. Longitudinal patterns in buprenorphine utilization may identify patients at high risk of treatment discontinuation. We aimed to identify buprenorphine treatment trajectories based on dosage over Days 1-168 of treatment (24 weeks).</w:t>
      </w:r>
    </w:p>
    <w:p w14:paraId="37D318F1" w14:textId="0F321FE0" w:rsidR="006669E4" w:rsidRPr="00094E94" w:rsidRDefault="006669E4" w:rsidP="00B27A18">
      <w:r w:rsidRPr="00094E94">
        <w:t xml:space="preserve">Methods: We applied latent class linear mixed effect modeling to a cohort of new buprenorphine treatment episodes based on pharmacy claims from individuals ≥18 years in </w:t>
      </w:r>
      <w:proofErr w:type="spellStart"/>
      <w:r w:rsidRPr="00094E94">
        <w:t>Merative</w:t>
      </w:r>
      <w:proofErr w:type="spellEnd"/>
      <w:r w:rsidRPr="00094E94">
        <w:t xml:space="preserve">™ </w:t>
      </w:r>
      <w:proofErr w:type="spellStart"/>
      <w:r w:rsidRPr="00094E94">
        <w:t>MarketScan</w:t>
      </w:r>
      <w:proofErr w:type="spellEnd"/>
      <w:r w:rsidRPr="00094E94">
        <w:t xml:space="preserve">® Research Databases, 2010–2022. We required 90 days of continuous health plan enrollment without buprenorphine prior to Day 1 and continuous enrollment on Days 1-168. We measured dosage as average daily buprenorphine dosage in the week. We described clusters based on mean (standard deviation, </w:t>
      </w:r>
      <w:proofErr w:type="spellStart"/>
      <w:r w:rsidRPr="00094E94">
        <w:t>sd</w:t>
      </w:r>
      <w:proofErr w:type="spellEnd"/>
      <w:r w:rsidRPr="00094E94">
        <w:t>) Day 1 dosage (mg), mean (</w:t>
      </w:r>
      <w:proofErr w:type="spellStart"/>
      <w:r w:rsidRPr="00094E94">
        <w:t>sd</w:t>
      </w:r>
      <w:proofErr w:type="spellEnd"/>
      <w:r w:rsidRPr="00094E94">
        <w:t xml:space="preserve">) Day 1 </w:t>
      </w:r>
      <w:proofErr w:type="gramStart"/>
      <w:r w:rsidRPr="00094E94">
        <w:t>days</w:t>
      </w:r>
      <w:proofErr w:type="gramEnd"/>
      <w:r w:rsidRPr="00094E94">
        <w:t xml:space="preserve"> medication supplied and retention at 28 and 168 days (defined as reaching 28 or 168 days without &gt;14 sequential days without buprenorphine).</w:t>
      </w:r>
    </w:p>
    <w:p w14:paraId="3870946B" w14:textId="6C3CE63D" w:rsidR="006669E4" w:rsidRPr="00094E94" w:rsidRDefault="006669E4" w:rsidP="00B27A18">
      <w:r w:rsidRPr="00094E94">
        <w:t>Results: Analysis of 89,433 episodes (74,535 individuals) produced seven clusters each comprising 7-28% of episodes. Clusters differed by mean (</w:t>
      </w:r>
      <w:proofErr w:type="spellStart"/>
      <w:r w:rsidRPr="00094E94">
        <w:t>sd</w:t>
      </w:r>
      <w:proofErr w:type="spellEnd"/>
      <w:r w:rsidRPr="00094E94">
        <w:t>) Day 1 dosage (range: 9(6)-20(6)), mean (</w:t>
      </w:r>
      <w:proofErr w:type="spellStart"/>
      <w:r w:rsidRPr="00094E94">
        <w:t>sd</w:t>
      </w:r>
      <w:proofErr w:type="spellEnd"/>
      <w:r w:rsidRPr="00094E94">
        <w:t xml:space="preserve">) Day 1 days supplied (range: 14(11)-19(12)), 28-day retention (range: 45%-99%), and 168-day retention (range: 2%-92%). The cluster with the lowest Day 1 dosage exhibited the lowest mean days supplied and percentage </w:t>
      </w:r>
      <w:proofErr w:type="gramStart"/>
      <w:r w:rsidRPr="00094E94">
        <w:t>retained</w:t>
      </w:r>
      <w:proofErr w:type="gramEnd"/>
      <w:r w:rsidRPr="00094E94">
        <w:t xml:space="preserve"> at 28 and 168 days. The cluster with the highest Day 1 dosage exhibited the highest mean days supplied and percentage </w:t>
      </w:r>
      <w:proofErr w:type="gramStart"/>
      <w:r w:rsidRPr="00094E94">
        <w:t>retained</w:t>
      </w:r>
      <w:proofErr w:type="gramEnd"/>
      <w:r w:rsidRPr="00094E94">
        <w:t xml:space="preserve"> at 28 and 168 days. Analysis of factors statistically associated with cluster assignment is ongoing.</w:t>
      </w:r>
    </w:p>
    <w:p w14:paraId="2DE5C850" w14:textId="4772A7A7" w:rsidR="00CF29B7" w:rsidRPr="00094E94" w:rsidRDefault="006669E4" w:rsidP="00B27A18">
      <w:r w:rsidRPr="00094E94">
        <w:t>Conclusions: Longitudinal patterns of buprenorphine utilization suggest linkage between initial dosage and days medication supplied with treatment retention at 28 and 168 days. Findings support research examining whether strategies to increase initial buprenorphine dosage and days medication supplied may improve buprenorphine treatment retention.</w:t>
      </w:r>
    </w:p>
    <w:p w14:paraId="645DE7B2" w14:textId="77777777" w:rsidR="00B27A18" w:rsidRDefault="00B27A18" w:rsidP="00CF29B7">
      <w:pPr>
        <w:rPr>
          <w:b/>
        </w:rPr>
      </w:pPr>
    </w:p>
    <w:p w14:paraId="1BC1E921" w14:textId="3416A8FE" w:rsidR="00CF29B7" w:rsidRPr="004C23AA" w:rsidRDefault="00CF29B7" w:rsidP="00CF29B7">
      <w:pPr>
        <w:rPr>
          <w:b/>
        </w:rPr>
      </w:pPr>
      <w:r>
        <w:rPr>
          <w:b/>
        </w:rPr>
        <w:lastRenderedPageBreak/>
        <w:t xml:space="preserve">Poster Presentation 3: </w:t>
      </w:r>
      <w:r w:rsidR="00E80895" w:rsidRPr="00E80895">
        <w:rPr>
          <w:b/>
        </w:rPr>
        <w:t>Co-designing a peer-led care navigation intervention to improve time to cervical cancer screening and follow-up among resettled refugee women</w:t>
      </w:r>
    </w:p>
    <w:p w14:paraId="7919454A" w14:textId="48B3102D" w:rsidR="00CF29B7" w:rsidRPr="004C23AA" w:rsidRDefault="00406E6D" w:rsidP="00CF29B7">
      <w:pPr>
        <w:rPr>
          <w:i/>
        </w:rPr>
      </w:pPr>
      <w:r>
        <w:rPr>
          <w:i/>
        </w:rPr>
        <w:t xml:space="preserve">Mihoko Tanabe, </w:t>
      </w:r>
      <w:r w:rsidRPr="00406E6D">
        <w:rPr>
          <w:i/>
        </w:rPr>
        <w:t>Abigail Batchelder, Ki</w:t>
      </w:r>
      <w:r>
        <w:rPr>
          <w:i/>
        </w:rPr>
        <w:t>r</w:t>
      </w:r>
      <w:r w:rsidRPr="00406E6D">
        <w:rPr>
          <w:i/>
        </w:rPr>
        <w:t>sten Austad, Jake Morgan, Elizabeth A Stier, Lisa J Messersmith</w:t>
      </w:r>
    </w:p>
    <w:p w14:paraId="5B7395C0" w14:textId="7C44D351" w:rsidR="00FB2872" w:rsidRDefault="00FB2872" w:rsidP="00FB2872">
      <w:r w:rsidRPr="00FB2872">
        <w:t>Introduction/Objective</w:t>
      </w:r>
      <w:r>
        <w:t>:</w:t>
      </w:r>
      <w:r w:rsidRPr="00FB2872">
        <w:t xml:space="preserve"> Cervical cancer is a preventable cancer; </w:t>
      </w:r>
      <w:proofErr w:type="gramStart"/>
      <w:r w:rsidRPr="00FB2872">
        <w:t>yet,</w:t>
      </w:r>
      <w:proofErr w:type="gramEnd"/>
      <w:r w:rsidRPr="00FB2872">
        <w:t xml:space="preserve"> refugees and other new immigrant women in the United States face barriers to screening, especially around social determinants of health. Despite known benefits of care navigation on enhancing completion of cervical cancer screening, primary care clinics often have limited resources to address social determinants, limiting implementation of evidence-based strategies. In addition, studies have not engaged refugee women themselves to serve in care navigation roles in support of their empowerment. Studies have also not examined the socioeconomic impacts of care navigation interventions on the health care system, which may help justify such investments in primary care settings. </w:t>
      </w:r>
    </w:p>
    <w:p w14:paraId="117764A0" w14:textId="776BD231" w:rsidR="00FB2872" w:rsidRPr="00FB2872" w:rsidRDefault="00FB2872" w:rsidP="00FB2872">
      <w:r w:rsidRPr="00FB2872">
        <w:t>Methods</w:t>
      </w:r>
      <w:r>
        <w:t>:</w:t>
      </w:r>
      <w:r w:rsidRPr="00FB2872">
        <w:t xml:space="preserve"> Guided by the implementation science Practical Robust Implementation Sustainability Model—Reach, Effectiveness, Adoption, Implementation, Maintenance (PRISM-RE-AIM) framework, this study will use co-design to develop a participatory, peer-led care navigation intervention focused on improving time to cervical cancer screening that can examine improvements in refugee women’s socioeconomic wellbeing and reduce costs on the health care system. We will focus on identifying factors associated with delays in screening and follow-up of abnormal results through eliciting patient and clinical leadership perspectives. We will further calculate the degree and costs of delays based on no-shows through chart review and examining </w:t>
      </w:r>
      <w:proofErr w:type="spellStart"/>
      <w:r w:rsidRPr="00FB2872">
        <w:t>Wellsense</w:t>
      </w:r>
      <w:proofErr w:type="spellEnd"/>
      <w:r w:rsidRPr="00FB2872">
        <w:t xml:space="preserve"> and Medicaid Limited reimbursement rates. We will then use co-design to develop a participatory, refugee women-led care navigation intervention to improve time to cervical cancer screening and follow-up. Refugee women will be trained to facilitate the co-design process. Results/Conclusions We will use the co-designed intervention as the basis for a K23 award application to NCI to pilot a single-site randomized control trial. We intend to assess the effectiveness, feasibility, and scalability of the model, examine changes to income and other socioeconomic indices for women, and estimate costs saved on the health system based on reduced no-shows. The ability to calculate the costs of improved time to care and examine socioeconomic impacts of a co-designed intervention on women may help demonstrate the benefits of wrap-around services that are critical to supporting immigrant women’s holistic wellbeing and could potentially be applied to other cancer screenings to improve health access overall.</w:t>
      </w:r>
    </w:p>
    <w:p w14:paraId="7CA5DD57" w14:textId="77777777" w:rsidR="00437B64" w:rsidRDefault="00437B64" w:rsidP="00CF29B7">
      <w:pPr>
        <w:rPr>
          <w:b/>
        </w:rPr>
      </w:pPr>
    </w:p>
    <w:p w14:paraId="6EAAC061" w14:textId="05AA986A" w:rsidR="00CF29B7" w:rsidRPr="004C23AA" w:rsidRDefault="00CF29B7" w:rsidP="00CF29B7">
      <w:pPr>
        <w:rPr>
          <w:b/>
        </w:rPr>
      </w:pPr>
      <w:r>
        <w:rPr>
          <w:b/>
        </w:rPr>
        <w:t xml:space="preserve">Poster Presentation 4: </w:t>
      </w:r>
      <w:r w:rsidR="00E96A02" w:rsidRPr="00E96A02">
        <w:rPr>
          <w:b/>
        </w:rPr>
        <w:t>Building Capacity in Refugee and Immigrant Health: Results from a Longitudinal Medical Education Intervention at an Urban Family Medicine Residency</w:t>
      </w:r>
    </w:p>
    <w:p w14:paraId="1DA24693" w14:textId="77777777" w:rsidR="00E15213" w:rsidRPr="00E15213" w:rsidRDefault="00E15213" w:rsidP="00E15213">
      <w:pPr>
        <w:rPr>
          <w:i/>
        </w:rPr>
      </w:pPr>
      <w:r>
        <w:rPr>
          <w:i/>
        </w:rPr>
        <w:t xml:space="preserve">Mihoko Tanabe, </w:t>
      </w:r>
      <w:r w:rsidRPr="00E15213">
        <w:rPr>
          <w:i/>
        </w:rPr>
        <w:t>Kaylin Pennington, Katherine McDaniel, Eric Romo, Jessica Occhiogrosso, Avra Goldman</w:t>
      </w:r>
    </w:p>
    <w:p w14:paraId="5581192E" w14:textId="77777777" w:rsidR="00E00C87" w:rsidRDefault="00E00C87" w:rsidP="00E00C87">
      <w:r w:rsidRPr="00E00C87">
        <w:t xml:space="preserve">Background: Training front-line primary care physicians in best practices and evidence-based approaches to caring for refugee and immigrant populations in the United States is critically important. We report findings from a longitudinal educational intervention designed to enhance the clinical competencies and confidence of family medicine resident physicians providing care to refugee and immigrant patients in an urban safety-net hospital and its affiliated community health centers. </w:t>
      </w:r>
    </w:p>
    <w:p w14:paraId="7C55CBB9" w14:textId="77777777" w:rsidR="00E00C87" w:rsidRDefault="00E00C87" w:rsidP="00E00C87">
      <w:r w:rsidRPr="00E00C87">
        <w:t>Methods: In 2022, a team of family medicine residents and faculty developed a multidisciplinary global health educational series tailored to an urban clinical setting. The primary outcome measured was self-</w:t>
      </w:r>
      <w:r w:rsidRPr="00E00C87">
        <w:lastRenderedPageBreak/>
        <w:t xml:space="preserve">reported changes in clinical practices when caring for refugee and immigrant patients. The intervention has since been adapted and implemented annually over the past three years and is currently underway for 2026. </w:t>
      </w:r>
    </w:p>
    <w:p w14:paraId="6D855DE4" w14:textId="77777777" w:rsidR="00E00C87" w:rsidRDefault="00E00C87" w:rsidP="00E00C87">
      <w:r w:rsidRPr="00E00C87">
        <w:t xml:space="preserve">Results: Selected Year 2 data demonstrated a significant increase in the frequency with which residents ordered lead screening for infants, children, and pregnant women three months after completing the series (p=0.010). Year 3 data showed significant improvements in residents’ self-reported overall comfort in caring for refugee and immigrant patients (p=0.002). Residents also highlighted their appreciation for how the series has remained responsive to timely, high-priority needs of the patient population. </w:t>
      </w:r>
    </w:p>
    <w:p w14:paraId="6B58ED44" w14:textId="02756A8D" w:rsidR="00E00C87" w:rsidRPr="00E00C87" w:rsidRDefault="00E00C87" w:rsidP="00E00C87">
      <w:r w:rsidRPr="00E00C87">
        <w:t>Conclusion/Discussion: By the time of presentation, the authors will have baseline data from the fourth year of implementation. The team will continue to expand this work, advancing resident training and equipping future front-line physicians to deliver evidence-based care for a culturally and linguistically diverse patient population.</w:t>
      </w:r>
    </w:p>
    <w:p w14:paraId="067D1F66" w14:textId="77777777" w:rsidR="00437B64" w:rsidRDefault="00437B64" w:rsidP="00CF29B7">
      <w:pPr>
        <w:rPr>
          <w:b/>
        </w:rPr>
      </w:pPr>
    </w:p>
    <w:p w14:paraId="26D799E8" w14:textId="022953B6" w:rsidR="00CF29B7" w:rsidRPr="004C23AA" w:rsidRDefault="00CF29B7" w:rsidP="00CF29B7">
      <w:pPr>
        <w:rPr>
          <w:b/>
        </w:rPr>
      </w:pPr>
      <w:r>
        <w:rPr>
          <w:b/>
        </w:rPr>
        <w:t xml:space="preserve">Poster Presentation 5: </w:t>
      </w:r>
      <w:r w:rsidR="000305F5" w:rsidRPr="000305F5">
        <w:rPr>
          <w:b/>
        </w:rPr>
        <w:t>Reducing Cesarean Section Surgical Site Infection at Boston Medical Center</w:t>
      </w:r>
    </w:p>
    <w:p w14:paraId="3838178C" w14:textId="6F6D057D" w:rsidR="00CF29B7" w:rsidRPr="004C23AA" w:rsidRDefault="00C5027D" w:rsidP="00CF29B7">
      <w:pPr>
        <w:rPr>
          <w:i/>
        </w:rPr>
      </w:pPr>
      <w:r>
        <w:rPr>
          <w:i/>
        </w:rPr>
        <w:t xml:space="preserve">Jennifer Pfau, Clare Cole, Katya Bryd, Michele Schultz, Kari Radoff, </w:t>
      </w:r>
      <w:proofErr w:type="spellStart"/>
      <w:r>
        <w:rPr>
          <w:i/>
        </w:rPr>
        <w:t>Thamarah</w:t>
      </w:r>
      <w:proofErr w:type="spellEnd"/>
      <w:r>
        <w:rPr>
          <w:i/>
        </w:rPr>
        <w:t xml:space="preserve"> Crevecoeur, Rita Sullivan, Ginny Combs, Lisa Ruprecht, Lynne Lambert, Melissa Schapero, </w:t>
      </w:r>
      <w:r w:rsidR="001E7197">
        <w:rPr>
          <w:i/>
        </w:rPr>
        <w:t xml:space="preserve">Maureen Fagan, </w:t>
      </w:r>
      <w:proofErr w:type="spellStart"/>
      <w:r w:rsidR="001E7197">
        <w:rPr>
          <w:i/>
        </w:rPr>
        <w:t>LaKedra</w:t>
      </w:r>
      <w:proofErr w:type="spellEnd"/>
      <w:r w:rsidR="001E7197">
        <w:rPr>
          <w:i/>
        </w:rPr>
        <w:t xml:space="preserve"> Pam</w:t>
      </w:r>
    </w:p>
    <w:p w14:paraId="259090E4" w14:textId="77777777" w:rsidR="008A6156" w:rsidRDefault="00CF29B7" w:rsidP="001E7197">
      <w:r>
        <w:t>Introduction/Background:</w:t>
      </w:r>
      <w:r w:rsidR="001E7197" w:rsidRPr="001E7197">
        <w:t xml:space="preserve"> In 2024, there was an increase in surgical site infections (SSI) in patients who had a cesarean section (C/S) at Boston Medical Center. The Infection Prevention team met with a multidisciplinary team of clinical leaders (nursing, physicians, midwives, wound care team) to review data. Patients with higher BMI were found to have an increased risk of developing SSI. A multidisciplinary QI group </w:t>
      </w:r>
      <w:proofErr w:type="gramStart"/>
      <w:r w:rsidR="001E7197" w:rsidRPr="001E7197">
        <w:t>formed</w:t>
      </w:r>
      <w:proofErr w:type="gramEnd"/>
      <w:r w:rsidR="001E7197" w:rsidRPr="001E7197">
        <w:t xml:space="preserve"> to investigate potential interventions. After completing a driver diagram, we opted to trial the </w:t>
      </w:r>
      <w:proofErr w:type="spellStart"/>
      <w:r w:rsidR="001E7197" w:rsidRPr="001E7197">
        <w:t>Prevena</w:t>
      </w:r>
      <w:proofErr w:type="spellEnd"/>
      <w:r w:rsidR="001E7197" w:rsidRPr="001E7197">
        <w:t xml:space="preserve"> Therapy unit (portable, disposable system using negative pressure to promote wound healing) to reduce SSI. Primary Aim: To reduce SSI in patients who had a C/S by 20% between 7/1/25-12/31/25 compared to the baseline 1.30% of total C/S deliveries from the prior 12 months. Secondary Aim: To use </w:t>
      </w:r>
      <w:proofErr w:type="spellStart"/>
      <w:r w:rsidR="001E7197" w:rsidRPr="001E7197">
        <w:t>Prevena</w:t>
      </w:r>
      <w:proofErr w:type="spellEnd"/>
      <w:r w:rsidR="001E7197" w:rsidRPr="001E7197">
        <w:t xml:space="preserve"> on 80% of patients who had a C/S and a BMI &amp;</w:t>
      </w:r>
      <w:proofErr w:type="spellStart"/>
      <w:r w:rsidR="001E7197" w:rsidRPr="001E7197">
        <w:t>gt</w:t>
      </w:r>
      <w:proofErr w:type="spellEnd"/>
      <w:r w:rsidR="001E7197" w:rsidRPr="001E7197">
        <w:t xml:space="preserve">; 40 by 12/31/25. </w:t>
      </w:r>
    </w:p>
    <w:p w14:paraId="366F926A" w14:textId="22E0E2BE" w:rsidR="008A6156" w:rsidRDefault="008A6156" w:rsidP="001E7197">
      <w:r>
        <w:t>Methods</w:t>
      </w:r>
      <w:r w:rsidR="001E7197" w:rsidRPr="001E7197">
        <w:t>: Three PDSA cycles were implemented. Data collection: Did patients with a C/S and BMI &amp;</w:t>
      </w:r>
      <w:proofErr w:type="spellStart"/>
      <w:r w:rsidR="001E7197" w:rsidRPr="001E7197">
        <w:t>gt</w:t>
      </w:r>
      <w:proofErr w:type="spellEnd"/>
      <w:r w:rsidR="001E7197" w:rsidRPr="001E7197">
        <w:t xml:space="preserve">; 40 receive </w:t>
      </w:r>
      <w:proofErr w:type="spellStart"/>
      <w:r w:rsidR="001E7197" w:rsidRPr="001E7197">
        <w:t>Prevena</w:t>
      </w:r>
      <w:proofErr w:type="spellEnd"/>
      <w:r w:rsidR="001E7197" w:rsidRPr="001E7197">
        <w:t xml:space="preserve">? </w:t>
      </w:r>
      <w:proofErr w:type="spellStart"/>
      <w:r w:rsidR="001E7197" w:rsidRPr="001E7197">
        <w:t>Prevena</w:t>
      </w:r>
      <w:proofErr w:type="spellEnd"/>
      <w:r w:rsidR="001E7197" w:rsidRPr="001E7197">
        <w:t xml:space="preserve"> utilization and SSI rates were monitored. Surveyed care team: If </w:t>
      </w:r>
      <w:proofErr w:type="spellStart"/>
      <w:r w:rsidR="001E7197" w:rsidRPr="001E7197">
        <w:t>Prevena</w:t>
      </w:r>
      <w:proofErr w:type="spellEnd"/>
      <w:r w:rsidR="001E7197" w:rsidRPr="001E7197">
        <w:t xml:space="preserve"> was not utilized for qualifying patients, why not? What were the barriers? Feedback regarding use? Chart reviews were conducted to identify any </w:t>
      </w:r>
      <w:proofErr w:type="spellStart"/>
      <w:r w:rsidR="001E7197" w:rsidRPr="001E7197">
        <w:t>Prevena</w:t>
      </w:r>
      <w:proofErr w:type="spellEnd"/>
      <w:r w:rsidR="001E7197" w:rsidRPr="001E7197">
        <w:t xml:space="preserve">–related issues. Team followed up with patients by phone after discharge to assess their understanding of the device and identify any issues with use. </w:t>
      </w:r>
    </w:p>
    <w:p w14:paraId="5A7CEEB8" w14:textId="77777777" w:rsidR="008A6156" w:rsidRDefault="008A6156" w:rsidP="001E7197">
      <w:r>
        <w:t>Preliminary Results</w:t>
      </w:r>
      <w:r w:rsidR="001E7197" w:rsidRPr="001E7197">
        <w:t xml:space="preserve">: Between July-Sept, SSI rate decreased by 15% from the prior 12 months (from 1.30% to 1.15% of total C/S deliveries), and we were near or above 80% target for C/S patients with a </w:t>
      </w:r>
      <w:proofErr w:type="gramStart"/>
      <w:r w:rsidR="001E7197" w:rsidRPr="001E7197">
        <w:t>BMI</w:t>
      </w:r>
      <w:proofErr w:type="gramEnd"/>
      <w:r w:rsidR="001E7197" w:rsidRPr="001E7197">
        <w:t xml:space="preserve"> &amp;</w:t>
      </w:r>
      <w:proofErr w:type="spellStart"/>
      <w:r w:rsidR="001E7197" w:rsidRPr="001E7197">
        <w:t>gt</w:t>
      </w:r>
      <w:proofErr w:type="spellEnd"/>
      <w:r w:rsidR="001E7197" w:rsidRPr="001E7197">
        <w:t xml:space="preserve">; 40 to receive a </w:t>
      </w:r>
      <w:proofErr w:type="spellStart"/>
      <w:r w:rsidR="001E7197" w:rsidRPr="001E7197">
        <w:t>Prevena</w:t>
      </w:r>
      <w:proofErr w:type="spellEnd"/>
      <w:r w:rsidR="001E7197" w:rsidRPr="001E7197">
        <w:t xml:space="preserve">. Issues identified included need for skin prep adjustment and opportunities for additional education (care team/patient/CHCs). </w:t>
      </w:r>
    </w:p>
    <w:p w14:paraId="588353F5" w14:textId="1CB3C57F" w:rsidR="001E7197" w:rsidRPr="001E7197" w:rsidRDefault="008A6156" w:rsidP="001E7197">
      <w:r>
        <w:t>Conclusion</w:t>
      </w:r>
      <w:r w:rsidR="001E7197" w:rsidRPr="001E7197">
        <w:t xml:space="preserve">: PDSA cycles and monitoring data are essential in rolling out a new workflow with the potential to impact patient safety. This process helped the team identify barriers to using the device </w:t>
      </w:r>
      <w:r w:rsidR="001E7197" w:rsidRPr="001E7197">
        <w:lastRenderedPageBreak/>
        <w:t xml:space="preserve">early on and ensure </w:t>
      </w:r>
      <w:proofErr w:type="spellStart"/>
      <w:r w:rsidR="001E7197" w:rsidRPr="001E7197">
        <w:t>Prevena</w:t>
      </w:r>
      <w:proofErr w:type="spellEnd"/>
      <w:r w:rsidR="001E7197" w:rsidRPr="001E7197">
        <w:t xml:space="preserve"> utilization for qualifying patients. Ongoing data monitoring of SSI rate and </w:t>
      </w:r>
      <w:proofErr w:type="spellStart"/>
      <w:r w:rsidR="001E7197" w:rsidRPr="001E7197">
        <w:t>Prevena</w:t>
      </w:r>
      <w:proofErr w:type="spellEnd"/>
      <w:r w:rsidR="001E7197" w:rsidRPr="001E7197">
        <w:t xml:space="preserve"> usage is necessary to ensure lasting impact.</w:t>
      </w:r>
    </w:p>
    <w:p w14:paraId="5AEC2D86" w14:textId="4138BCF0" w:rsidR="00CF29B7" w:rsidRDefault="00CF29B7" w:rsidP="00CF29B7"/>
    <w:p w14:paraId="6E501BFC" w14:textId="0BD55C3F" w:rsidR="00CF29B7" w:rsidRPr="004C23AA" w:rsidRDefault="00CF29B7" w:rsidP="00CF29B7">
      <w:pPr>
        <w:rPr>
          <w:b/>
        </w:rPr>
      </w:pPr>
      <w:r>
        <w:rPr>
          <w:b/>
        </w:rPr>
        <w:t xml:space="preserve">Poster Presentation 6: </w:t>
      </w:r>
      <w:r w:rsidR="00C75684" w:rsidRPr="00C75684">
        <w:rPr>
          <w:b/>
        </w:rPr>
        <w:t>Screening rates and transitions of care after administering the Refugee Health Screener-15 in an academic family medicine clinic</w:t>
      </w:r>
    </w:p>
    <w:p w14:paraId="124E911B" w14:textId="62B335E3" w:rsidR="00CF29B7" w:rsidRPr="004C23AA" w:rsidRDefault="00305557" w:rsidP="00CF29B7">
      <w:pPr>
        <w:rPr>
          <w:i/>
        </w:rPr>
      </w:pPr>
      <w:r>
        <w:rPr>
          <w:i/>
        </w:rPr>
        <w:t xml:space="preserve">Janani Arangan, </w:t>
      </w:r>
      <w:r w:rsidRPr="00305557">
        <w:rPr>
          <w:i/>
        </w:rPr>
        <w:t>Mihoko Tanabe</w:t>
      </w:r>
    </w:p>
    <w:p w14:paraId="7A394C60" w14:textId="77777777" w:rsidR="00E56E72" w:rsidRDefault="00CF29B7" w:rsidP="00E56E72">
      <w:r>
        <w:t>Introduction/Background:</w:t>
      </w:r>
      <w:r w:rsidR="00E56E72" w:rsidRPr="00E56E72">
        <w:t xml:space="preserve"> The validated Refugee Health Screener-15 (RHS-15) is used to screen for a wide range of symptoms associated with various mental health disorders among refugees. Other screening tools like the Patient Health Questionnaire-9 are less specific to </w:t>
      </w:r>
      <w:proofErr w:type="gramStart"/>
      <w:r w:rsidR="00E56E72" w:rsidRPr="00E56E72">
        <w:t>culturally-diverse</w:t>
      </w:r>
      <w:proofErr w:type="gramEnd"/>
      <w:r w:rsidR="00E56E72" w:rsidRPr="00E56E72">
        <w:t xml:space="preserve">, trauma-exposed populations. This quality improvement project intended to identify RHS-15 screening rates and follow up for immigrant and refugee patients ≥14 years of age seen at the Boston Medical Center Family Medicine Clinic to assess current screening practices and transitions of care. </w:t>
      </w:r>
    </w:p>
    <w:p w14:paraId="7BD07F64" w14:textId="77777777" w:rsidR="00E56E72" w:rsidRDefault="00E56E72" w:rsidP="00E56E72">
      <w:r w:rsidRPr="00E56E72">
        <w:t>Methods: We conducted a chart review of patients seen between 1/1/2025</w:t>
      </w:r>
      <w:proofErr w:type="gramStart"/>
      <w:r w:rsidRPr="00E56E72">
        <w:t>-1/</w:t>
      </w:r>
      <w:proofErr w:type="gramEnd"/>
      <w:r w:rsidRPr="00E56E72">
        <w:t xml:space="preserve">1/2026. We identified patients based on their visit encounter type, as part of the Refugee Health Assessment Program (RHAP) or the Immigrant Refugee Health Center (IRHC), and followed up their RHS-15 score (positive ≥12), then identified whether referrals were placed for a mental health consult. </w:t>
      </w:r>
    </w:p>
    <w:p w14:paraId="7EFFC61D" w14:textId="77777777" w:rsidR="00E56E72" w:rsidRDefault="00E56E72" w:rsidP="00E56E72">
      <w:r w:rsidRPr="00E56E72">
        <w:t>Results: We identified 88 patients, 22 of whom had a documented RHS-15 score. Six referrals were placed for mental health consults (psychiatric treatment or counseling</w:t>
      </w:r>
      <w:proofErr w:type="gramStart"/>
      <w:r w:rsidRPr="00E56E72">
        <w:t>)</w:t>
      </w:r>
      <w:proofErr w:type="gramEnd"/>
      <w:r w:rsidRPr="00E56E72">
        <w:t xml:space="preserve"> and all patients were scheduled within two months. Three patients were scheduled for mental health consults by IRHC case management prior to visit. </w:t>
      </w:r>
    </w:p>
    <w:p w14:paraId="1A3FB1AB" w14:textId="08B41113" w:rsidR="00E56E72" w:rsidRPr="00E56E72" w:rsidRDefault="00E56E72" w:rsidP="00E56E72">
      <w:r w:rsidRPr="00E56E72">
        <w:t xml:space="preserve">Conclusion/Discussion: While patients who screened </w:t>
      </w:r>
      <w:proofErr w:type="gramStart"/>
      <w:r w:rsidRPr="00E56E72">
        <w:t>positive</w:t>
      </w:r>
      <w:proofErr w:type="gramEnd"/>
      <w:r w:rsidRPr="00E56E72">
        <w:t xml:space="preserve"> were connected to long-term mental health care, 75% of patients were not administered the RHS-15 at their initial visit. This may be due to the screener not being mandatory for non-refugees, despite similar trauma exposure for asylum-seekers and other immigrant groups. We can address this gap through further education and engagement with the clinical care team.</w:t>
      </w:r>
    </w:p>
    <w:p w14:paraId="6B216457" w14:textId="188FB847" w:rsidR="00CF29B7" w:rsidRDefault="00CF29B7" w:rsidP="00CF29B7"/>
    <w:p w14:paraId="6F6FAA18" w14:textId="77777777" w:rsidR="006C6AA4" w:rsidRDefault="006C6AA4" w:rsidP="006C6AA4"/>
    <w:sectPr w:rsidR="006C6AA4" w:rsidSect="00AC14C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77324" w14:textId="77777777" w:rsidR="00F43C2C" w:rsidRDefault="00F43C2C" w:rsidP="00F74E14">
      <w:pPr>
        <w:spacing w:after="0" w:line="240" w:lineRule="auto"/>
      </w:pPr>
      <w:r>
        <w:separator/>
      </w:r>
    </w:p>
  </w:endnote>
  <w:endnote w:type="continuationSeparator" w:id="0">
    <w:p w14:paraId="59F59CE3" w14:textId="77777777" w:rsidR="00F43C2C" w:rsidRDefault="00F43C2C" w:rsidP="00F7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3BB84" w14:textId="77777777" w:rsidR="00F43C2C" w:rsidRDefault="00F43C2C" w:rsidP="00F74E14">
      <w:pPr>
        <w:spacing w:after="0" w:line="240" w:lineRule="auto"/>
      </w:pPr>
      <w:r>
        <w:separator/>
      </w:r>
    </w:p>
  </w:footnote>
  <w:footnote w:type="continuationSeparator" w:id="0">
    <w:p w14:paraId="5F660491" w14:textId="77777777" w:rsidR="00F43C2C" w:rsidRDefault="00F43C2C" w:rsidP="00F74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8536" w14:textId="14E7DEFC" w:rsidR="00F74E14" w:rsidRDefault="00F74E14">
    <w:pPr>
      <w:pStyle w:val="Header"/>
    </w:pPr>
    <w:r>
      <w:rPr>
        <w:noProof/>
      </w:rPr>
      <w:drawing>
        <wp:anchor distT="0" distB="0" distL="114300" distR="114300" simplePos="0" relativeHeight="251658240" behindDoc="1" locked="0" layoutInCell="1" allowOverlap="1" wp14:anchorId="58A06097" wp14:editId="1951F2AF">
          <wp:simplePos x="0" y="0"/>
          <wp:positionH relativeFrom="column">
            <wp:posOffset>5244176</wp:posOffset>
          </wp:positionH>
          <wp:positionV relativeFrom="paragraph">
            <wp:posOffset>-325466</wp:posOffset>
          </wp:positionV>
          <wp:extent cx="1433946" cy="612856"/>
          <wp:effectExtent l="0" t="0" r="0" b="0"/>
          <wp:wrapNone/>
          <wp:docPr id="1997940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946" cy="61285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AA"/>
    <w:rsid w:val="0000257C"/>
    <w:rsid w:val="000305F5"/>
    <w:rsid w:val="00061FC0"/>
    <w:rsid w:val="000652B1"/>
    <w:rsid w:val="000770B3"/>
    <w:rsid w:val="00094E94"/>
    <w:rsid w:val="000E7485"/>
    <w:rsid w:val="00104E86"/>
    <w:rsid w:val="001617A7"/>
    <w:rsid w:val="00167049"/>
    <w:rsid w:val="001B12E9"/>
    <w:rsid w:val="001D4A74"/>
    <w:rsid w:val="001E7197"/>
    <w:rsid w:val="00207D4F"/>
    <w:rsid w:val="00221734"/>
    <w:rsid w:val="00283CA8"/>
    <w:rsid w:val="002C6B75"/>
    <w:rsid w:val="00305557"/>
    <w:rsid w:val="003450ED"/>
    <w:rsid w:val="003515F9"/>
    <w:rsid w:val="0036061F"/>
    <w:rsid w:val="003A4D97"/>
    <w:rsid w:val="003D15DA"/>
    <w:rsid w:val="00406E6D"/>
    <w:rsid w:val="00437B64"/>
    <w:rsid w:val="00467899"/>
    <w:rsid w:val="00497AC1"/>
    <w:rsid w:val="004C23AA"/>
    <w:rsid w:val="004F72A9"/>
    <w:rsid w:val="00517B71"/>
    <w:rsid w:val="005208DF"/>
    <w:rsid w:val="005818BC"/>
    <w:rsid w:val="00585768"/>
    <w:rsid w:val="005F38BF"/>
    <w:rsid w:val="005F7396"/>
    <w:rsid w:val="006669E4"/>
    <w:rsid w:val="00682626"/>
    <w:rsid w:val="006920D9"/>
    <w:rsid w:val="006C6AA4"/>
    <w:rsid w:val="006D31EF"/>
    <w:rsid w:val="008526F3"/>
    <w:rsid w:val="00852712"/>
    <w:rsid w:val="008A6156"/>
    <w:rsid w:val="008B14F3"/>
    <w:rsid w:val="008F211F"/>
    <w:rsid w:val="00917C8B"/>
    <w:rsid w:val="009879EB"/>
    <w:rsid w:val="00994EF3"/>
    <w:rsid w:val="009A55A5"/>
    <w:rsid w:val="00A30D3A"/>
    <w:rsid w:val="00A63B04"/>
    <w:rsid w:val="00A77EE1"/>
    <w:rsid w:val="00AA28C1"/>
    <w:rsid w:val="00AC14C4"/>
    <w:rsid w:val="00AF0EF9"/>
    <w:rsid w:val="00B27A18"/>
    <w:rsid w:val="00C23D38"/>
    <w:rsid w:val="00C5027D"/>
    <w:rsid w:val="00C70E83"/>
    <w:rsid w:val="00C75684"/>
    <w:rsid w:val="00CF29B7"/>
    <w:rsid w:val="00DA3026"/>
    <w:rsid w:val="00DA47DC"/>
    <w:rsid w:val="00E00C87"/>
    <w:rsid w:val="00E15213"/>
    <w:rsid w:val="00E1557C"/>
    <w:rsid w:val="00E56E72"/>
    <w:rsid w:val="00E80895"/>
    <w:rsid w:val="00E941DC"/>
    <w:rsid w:val="00E94CAF"/>
    <w:rsid w:val="00E96A02"/>
    <w:rsid w:val="00F065FF"/>
    <w:rsid w:val="00F43C2C"/>
    <w:rsid w:val="00F74E14"/>
    <w:rsid w:val="00FB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660F6"/>
  <w15:chartTrackingRefBased/>
  <w15:docId w15:val="{71BCDF1D-D4A3-46FB-9BF7-93C06581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E14"/>
  </w:style>
  <w:style w:type="paragraph" w:styleId="Footer">
    <w:name w:val="footer"/>
    <w:basedOn w:val="Normal"/>
    <w:link w:val="FooterChar"/>
    <w:uiPriority w:val="99"/>
    <w:unhideWhenUsed/>
    <w:rsid w:val="00F74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14130">
      <w:bodyDiv w:val="1"/>
      <w:marLeft w:val="0"/>
      <w:marRight w:val="0"/>
      <w:marTop w:val="0"/>
      <w:marBottom w:val="0"/>
      <w:divBdr>
        <w:top w:val="none" w:sz="0" w:space="0" w:color="auto"/>
        <w:left w:val="none" w:sz="0" w:space="0" w:color="auto"/>
        <w:bottom w:val="none" w:sz="0" w:space="0" w:color="auto"/>
        <w:right w:val="none" w:sz="0" w:space="0" w:color="auto"/>
      </w:divBdr>
    </w:div>
    <w:div w:id="989140674">
      <w:bodyDiv w:val="1"/>
      <w:marLeft w:val="0"/>
      <w:marRight w:val="0"/>
      <w:marTop w:val="0"/>
      <w:marBottom w:val="0"/>
      <w:divBdr>
        <w:top w:val="none" w:sz="0" w:space="0" w:color="auto"/>
        <w:left w:val="none" w:sz="0" w:space="0" w:color="auto"/>
        <w:bottom w:val="none" w:sz="0" w:space="0" w:color="auto"/>
        <w:right w:val="none" w:sz="0" w:space="0" w:color="auto"/>
      </w:divBdr>
    </w:div>
    <w:div w:id="1003320523">
      <w:bodyDiv w:val="1"/>
      <w:marLeft w:val="0"/>
      <w:marRight w:val="0"/>
      <w:marTop w:val="0"/>
      <w:marBottom w:val="0"/>
      <w:divBdr>
        <w:top w:val="none" w:sz="0" w:space="0" w:color="auto"/>
        <w:left w:val="none" w:sz="0" w:space="0" w:color="auto"/>
        <w:bottom w:val="none" w:sz="0" w:space="0" w:color="auto"/>
        <w:right w:val="none" w:sz="0" w:space="0" w:color="auto"/>
      </w:divBdr>
    </w:div>
    <w:div w:id="1170482529">
      <w:bodyDiv w:val="1"/>
      <w:marLeft w:val="0"/>
      <w:marRight w:val="0"/>
      <w:marTop w:val="0"/>
      <w:marBottom w:val="0"/>
      <w:divBdr>
        <w:top w:val="none" w:sz="0" w:space="0" w:color="auto"/>
        <w:left w:val="none" w:sz="0" w:space="0" w:color="auto"/>
        <w:bottom w:val="none" w:sz="0" w:space="0" w:color="auto"/>
        <w:right w:val="none" w:sz="0" w:space="0" w:color="auto"/>
      </w:divBdr>
    </w:div>
    <w:div w:id="1262570576">
      <w:bodyDiv w:val="1"/>
      <w:marLeft w:val="0"/>
      <w:marRight w:val="0"/>
      <w:marTop w:val="0"/>
      <w:marBottom w:val="0"/>
      <w:divBdr>
        <w:top w:val="none" w:sz="0" w:space="0" w:color="auto"/>
        <w:left w:val="none" w:sz="0" w:space="0" w:color="auto"/>
        <w:bottom w:val="none" w:sz="0" w:space="0" w:color="auto"/>
        <w:right w:val="none" w:sz="0" w:space="0" w:color="auto"/>
      </w:divBdr>
    </w:div>
    <w:div w:id="1316181455">
      <w:bodyDiv w:val="1"/>
      <w:marLeft w:val="0"/>
      <w:marRight w:val="0"/>
      <w:marTop w:val="0"/>
      <w:marBottom w:val="0"/>
      <w:divBdr>
        <w:top w:val="none" w:sz="0" w:space="0" w:color="auto"/>
        <w:left w:val="none" w:sz="0" w:space="0" w:color="auto"/>
        <w:bottom w:val="none" w:sz="0" w:space="0" w:color="auto"/>
        <w:right w:val="none" w:sz="0" w:space="0" w:color="auto"/>
      </w:divBdr>
    </w:div>
    <w:div w:id="1349214882">
      <w:bodyDiv w:val="1"/>
      <w:marLeft w:val="0"/>
      <w:marRight w:val="0"/>
      <w:marTop w:val="0"/>
      <w:marBottom w:val="0"/>
      <w:divBdr>
        <w:top w:val="none" w:sz="0" w:space="0" w:color="auto"/>
        <w:left w:val="none" w:sz="0" w:space="0" w:color="auto"/>
        <w:bottom w:val="none" w:sz="0" w:space="0" w:color="auto"/>
        <w:right w:val="none" w:sz="0" w:space="0" w:color="auto"/>
      </w:divBdr>
    </w:div>
    <w:div w:id="1507554816">
      <w:bodyDiv w:val="1"/>
      <w:marLeft w:val="0"/>
      <w:marRight w:val="0"/>
      <w:marTop w:val="0"/>
      <w:marBottom w:val="0"/>
      <w:divBdr>
        <w:top w:val="none" w:sz="0" w:space="0" w:color="auto"/>
        <w:left w:val="none" w:sz="0" w:space="0" w:color="auto"/>
        <w:bottom w:val="none" w:sz="0" w:space="0" w:color="auto"/>
        <w:right w:val="none" w:sz="0" w:space="0" w:color="auto"/>
      </w:divBdr>
    </w:div>
    <w:div w:id="1578779458">
      <w:bodyDiv w:val="1"/>
      <w:marLeft w:val="0"/>
      <w:marRight w:val="0"/>
      <w:marTop w:val="0"/>
      <w:marBottom w:val="0"/>
      <w:divBdr>
        <w:top w:val="none" w:sz="0" w:space="0" w:color="auto"/>
        <w:left w:val="none" w:sz="0" w:space="0" w:color="auto"/>
        <w:bottom w:val="none" w:sz="0" w:space="0" w:color="auto"/>
        <w:right w:val="none" w:sz="0" w:space="0" w:color="auto"/>
      </w:divBdr>
    </w:div>
    <w:div w:id="1673528250">
      <w:bodyDiv w:val="1"/>
      <w:marLeft w:val="0"/>
      <w:marRight w:val="0"/>
      <w:marTop w:val="0"/>
      <w:marBottom w:val="0"/>
      <w:divBdr>
        <w:top w:val="none" w:sz="0" w:space="0" w:color="auto"/>
        <w:left w:val="none" w:sz="0" w:space="0" w:color="auto"/>
        <w:bottom w:val="none" w:sz="0" w:space="0" w:color="auto"/>
        <w:right w:val="none" w:sz="0" w:space="0" w:color="auto"/>
      </w:divBdr>
    </w:div>
    <w:div w:id="1730036726">
      <w:bodyDiv w:val="1"/>
      <w:marLeft w:val="0"/>
      <w:marRight w:val="0"/>
      <w:marTop w:val="0"/>
      <w:marBottom w:val="0"/>
      <w:divBdr>
        <w:top w:val="none" w:sz="0" w:space="0" w:color="auto"/>
        <w:left w:val="none" w:sz="0" w:space="0" w:color="auto"/>
        <w:bottom w:val="none" w:sz="0" w:space="0" w:color="auto"/>
        <w:right w:val="none" w:sz="0" w:space="0" w:color="auto"/>
      </w:divBdr>
    </w:div>
    <w:div w:id="1759793448">
      <w:bodyDiv w:val="1"/>
      <w:marLeft w:val="0"/>
      <w:marRight w:val="0"/>
      <w:marTop w:val="0"/>
      <w:marBottom w:val="0"/>
      <w:divBdr>
        <w:top w:val="none" w:sz="0" w:space="0" w:color="auto"/>
        <w:left w:val="none" w:sz="0" w:space="0" w:color="auto"/>
        <w:bottom w:val="none" w:sz="0" w:space="0" w:color="auto"/>
        <w:right w:val="none" w:sz="0" w:space="0" w:color="auto"/>
      </w:divBdr>
    </w:div>
    <w:div w:id="190776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80F94E0378E4DA547E397E4FF7444" ma:contentTypeVersion="15" ma:contentTypeDescription="Create a new document." ma:contentTypeScope="" ma:versionID="37e98feb77b43be5c2f12dfcabf25d4e">
  <xsd:schema xmlns:xsd="http://www.w3.org/2001/XMLSchema" xmlns:xs="http://www.w3.org/2001/XMLSchema" xmlns:p="http://schemas.microsoft.com/office/2006/metadata/properties" xmlns:ns3="a26ba5a4-dc13-4f1e-aecf-f7e657dee8a6" xmlns:ns4="0f87e38d-5a79-4823-9784-f16a8415b53b" targetNamespace="http://schemas.microsoft.com/office/2006/metadata/properties" ma:root="true" ma:fieldsID="e4e95e9227194ebda55abefd777f7382" ns3:_="" ns4:_="">
    <xsd:import namespace="a26ba5a4-dc13-4f1e-aecf-f7e657dee8a6"/>
    <xsd:import namespace="0f87e38d-5a79-4823-9784-f16a8415b53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6ba5a4-dc13-4f1e-aecf-f7e657dee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87e38d-5a79-4823-9784-f16a8415b5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26ba5a4-dc13-4f1e-aecf-f7e657dee8a6" xsi:nil="true"/>
  </documentManagement>
</p:properties>
</file>

<file path=customXml/itemProps1.xml><?xml version="1.0" encoding="utf-8"?>
<ds:datastoreItem xmlns:ds="http://schemas.openxmlformats.org/officeDocument/2006/customXml" ds:itemID="{C914EA9F-E770-463E-97BE-4559191AB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6ba5a4-dc13-4f1e-aecf-f7e657dee8a6"/>
    <ds:schemaRef ds:uri="0f87e38d-5a79-4823-9784-f16a8415b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13FC3-ABB0-4CCB-BAB1-1A81DD3942D5}">
  <ds:schemaRefs>
    <ds:schemaRef ds:uri="http://schemas.microsoft.com/sharepoint/v3/contenttype/forms"/>
  </ds:schemaRefs>
</ds:datastoreItem>
</file>

<file path=customXml/itemProps3.xml><?xml version="1.0" encoding="utf-8"?>
<ds:datastoreItem xmlns:ds="http://schemas.openxmlformats.org/officeDocument/2006/customXml" ds:itemID="{6CB30C9B-209F-4409-8339-8EC4A6AEB978}">
  <ds:schemaRefs>
    <ds:schemaRef ds:uri="http://schemas.microsoft.com/office/2006/metadata/properties"/>
    <ds:schemaRef ds:uri="http://schemas.microsoft.com/office/infopath/2007/PartnerControls"/>
    <ds:schemaRef ds:uri="a26ba5a4-dc13-4f1e-aecf-f7e657dee8a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3751</Words>
  <Characters>21386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Boston Medical Center</Company>
  <LinksUpToDate>false</LinksUpToDate>
  <CharactersWithSpaces>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Khushbu</dc:creator>
  <cp:keywords/>
  <dc:description/>
  <cp:lastModifiedBy>Patel, Khushbu</cp:lastModifiedBy>
  <cp:revision>4</cp:revision>
  <dcterms:created xsi:type="dcterms:W3CDTF">2026-06-03T16:20:00Z</dcterms:created>
  <dcterms:modified xsi:type="dcterms:W3CDTF">2026-06-04T18:23:00Z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0x0101006C680F94E0378E4DA547E397E4FF7444</vt:lpwstr>
  </property>
</Properties>
</file>