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C9608" w14:textId="77777777" w:rsidR="00FB3D9A" w:rsidRDefault="00FB3D9A" w:rsidP="00FB3D9A">
      <w:pPr>
        <w:pStyle w:val="NoSpacing"/>
        <w:rPr>
          <w:rFonts w:asciiTheme="minorHAnsi" w:hAnsiTheme="minorHAnsi"/>
          <w:b/>
        </w:rPr>
      </w:pPr>
    </w:p>
    <w:p w14:paraId="37147445" w14:textId="20AF0639" w:rsidR="008D1CB4" w:rsidRPr="00FB3D9A" w:rsidRDefault="00F679AE" w:rsidP="008D1CB4">
      <w:pPr>
        <w:pStyle w:val="NoSpacing"/>
        <w:jc w:val="center"/>
        <w:rPr>
          <w:rFonts w:asciiTheme="minorHAnsi" w:hAnsiTheme="minorHAnsi"/>
          <w:b/>
          <w:sz w:val="40"/>
          <w:szCs w:val="40"/>
        </w:rPr>
      </w:pPr>
      <w:r>
        <w:rPr>
          <w:rFonts w:asciiTheme="minorHAnsi" w:hAnsiTheme="minorHAnsi"/>
          <w:b/>
          <w:sz w:val="40"/>
          <w:szCs w:val="40"/>
        </w:rPr>
        <w:t>Biomedical Sciences and Health IT</w:t>
      </w:r>
    </w:p>
    <w:p w14:paraId="26BD39DC" w14:textId="48BDCE38" w:rsidR="008D1CB4" w:rsidRPr="00BD4883" w:rsidRDefault="00535BA0" w:rsidP="008D1CB4">
      <w:pPr>
        <w:pStyle w:val="NoSpacing"/>
        <w:jc w:val="center"/>
        <w:rPr>
          <w:rFonts w:cs="Arial"/>
          <w:sz w:val="28"/>
          <w:szCs w:val="28"/>
        </w:rPr>
      </w:pPr>
      <w:r w:rsidRPr="00BD4883">
        <w:rPr>
          <w:rFonts w:cs="Arial"/>
          <w:sz w:val="28"/>
          <w:szCs w:val="28"/>
        </w:rPr>
        <w:t>CS57</w:t>
      </w:r>
      <w:r w:rsidR="00BE1927" w:rsidRPr="00BD4883">
        <w:rPr>
          <w:rFonts w:cs="Arial"/>
          <w:sz w:val="28"/>
          <w:szCs w:val="28"/>
        </w:rPr>
        <w:t>0</w:t>
      </w:r>
      <w:r w:rsidR="00E86980">
        <w:rPr>
          <w:rFonts w:cs="Arial"/>
          <w:sz w:val="28"/>
          <w:szCs w:val="28"/>
        </w:rPr>
        <w:t xml:space="preserve"> </w:t>
      </w:r>
    </w:p>
    <w:p w14:paraId="446168A4" w14:textId="66FD93EE" w:rsidR="008D1CB4" w:rsidRPr="00BD4883" w:rsidRDefault="00BE1927" w:rsidP="008D1CB4">
      <w:pPr>
        <w:pStyle w:val="NoSpacing"/>
        <w:jc w:val="center"/>
        <w:rPr>
          <w:rFonts w:cs="Arial"/>
          <w:sz w:val="28"/>
          <w:szCs w:val="28"/>
        </w:rPr>
      </w:pPr>
      <w:r w:rsidRPr="00BD4883">
        <w:rPr>
          <w:rFonts w:cs="Arial"/>
          <w:sz w:val="28"/>
          <w:szCs w:val="28"/>
        </w:rPr>
        <w:t>Course Format (Online</w:t>
      </w:r>
      <w:r w:rsidR="000D5DE5" w:rsidRPr="00BD4883">
        <w:rPr>
          <w:rFonts w:cs="Arial"/>
          <w:sz w:val="28"/>
          <w:szCs w:val="28"/>
        </w:rPr>
        <w:t>)</w:t>
      </w:r>
    </w:p>
    <w:p w14:paraId="36D00AEF" w14:textId="1BBF8620" w:rsidR="007935B0" w:rsidRPr="00BD4883" w:rsidRDefault="00DA4B2C" w:rsidP="004E51CB">
      <w:pPr>
        <w:pStyle w:val="NoSpacing"/>
        <w:rPr>
          <w:rFonts w:cs="Arial"/>
        </w:rPr>
      </w:pPr>
      <w:r w:rsidRPr="00BD4883">
        <w:rPr>
          <w:rFonts w:cs="Arial"/>
        </w:rPr>
        <w:t>Derin Keskin</w:t>
      </w:r>
      <w:r w:rsidR="007935B0" w:rsidRPr="00BD4883">
        <w:rPr>
          <w:rFonts w:cs="Arial"/>
        </w:rPr>
        <w:t>, Ph.D.</w:t>
      </w:r>
      <w:r w:rsidR="007935B0" w:rsidRPr="00BD4883">
        <w:rPr>
          <w:rFonts w:cs="Arial"/>
        </w:rPr>
        <w:tab/>
      </w:r>
    </w:p>
    <w:p w14:paraId="6568D2E3" w14:textId="7F2AED42" w:rsidR="00DA4B2C" w:rsidRPr="00BD4883" w:rsidRDefault="00000000" w:rsidP="004E51CB">
      <w:pPr>
        <w:pStyle w:val="NoSpacing"/>
        <w:rPr>
          <w:rFonts w:cs="Arial"/>
        </w:rPr>
      </w:pPr>
      <w:hyperlink r:id="rId7" w:history="1">
        <w:r w:rsidR="00DA4B2C" w:rsidRPr="00BD4883">
          <w:rPr>
            <w:rFonts w:cs="Arial"/>
          </w:rPr>
          <w:t>derinbenercikeskin@hotmail.com</w:t>
        </w:r>
      </w:hyperlink>
      <w:r w:rsidR="00DA4B2C" w:rsidRPr="00BD4883">
        <w:rPr>
          <w:rFonts w:cs="Arial"/>
        </w:rPr>
        <w:t xml:space="preserve">   OR   dbk1@bu.edu</w:t>
      </w:r>
    </w:p>
    <w:p w14:paraId="4A79968F" w14:textId="016F4ADA" w:rsidR="004E51CB" w:rsidRPr="00BD4883" w:rsidRDefault="004E51CB" w:rsidP="004E51CB">
      <w:pPr>
        <w:pStyle w:val="NoSpacing"/>
        <w:rPr>
          <w:rFonts w:cs="Arial"/>
        </w:rPr>
      </w:pPr>
      <w:r w:rsidRPr="00BD4883">
        <w:rPr>
          <w:rFonts w:cs="Arial"/>
        </w:rPr>
        <w:t>Office hours: by appointment</w:t>
      </w:r>
    </w:p>
    <w:p w14:paraId="3591DB25" w14:textId="77777777" w:rsidR="004E51CB" w:rsidRPr="00BD4883" w:rsidRDefault="004E51CB" w:rsidP="004E51CB">
      <w:pPr>
        <w:pStyle w:val="NoSpacing"/>
        <w:rPr>
          <w:rFonts w:cs="Arial"/>
        </w:rPr>
      </w:pPr>
    </w:p>
    <w:p w14:paraId="0A651FEF" w14:textId="77777777" w:rsidR="008D1CB4" w:rsidRPr="00BD4883" w:rsidRDefault="008D1CB4" w:rsidP="008D1CB4">
      <w:pPr>
        <w:pStyle w:val="NoSpacing"/>
        <w:rPr>
          <w:rFonts w:cs="Arial"/>
          <w:b/>
        </w:rPr>
      </w:pPr>
      <w:r w:rsidRPr="00BD4883">
        <w:rPr>
          <w:rFonts w:cs="Arial"/>
          <w:b/>
        </w:rPr>
        <w:t>Course Description</w:t>
      </w:r>
    </w:p>
    <w:p w14:paraId="23E8CC01" w14:textId="77091802" w:rsidR="007935B0" w:rsidRPr="00BD4883" w:rsidRDefault="00DA4B2C" w:rsidP="00535BA0">
      <w:pPr>
        <w:pStyle w:val="NoSpacing"/>
        <w:jc w:val="both"/>
        <w:rPr>
          <w:rFonts w:cs="Arial"/>
        </w:rPr>
      </w:pPr>
      <w:r w:rsidRPr="00BD4883">
        <w:rPr>
          <w:rFonts w:cs="Arial"/>
        </w:rPr>
        <w:t>This course is designed for IT professionals, and those training to be IT professionals, who are preparing for careers in healthcare-related IT (Health Informatics). This course provides a high-level introduction into basic concepts and terminologies of biomedicine and provide insights into the structure and organization of the American healthcare system and how it is intertwined with IT. The course introduces medical terminology, human anatomy and physiology, disease processes, diagnostic modalities, and treatments used to manage some common diseases. IT case studies demonstrate the key roles of health informatics and how IT tools and resources help medical professionals integrate multiple sources of information to make diagnostic and therapeutic decisions.</w:t>
      </w:r>
    </w:p>
    <w:p w14:paraId="32EB0B26" w14:textId="77777777" w:rsidR="00DA4B2C" w:rsidRPr="00BD4883" w:rsidRDefault="00DA4B2C" w:rsidP="00535BA0">
      <w:pPr>
        <w:pStyle w:val="NoSpacing"/>
        <w:jc w:val="both"/>
        <w:rPr>
          <w:rFonts w:cs="Arial"/>
        </w:rPr>
      </w:pPr>
    </w:p>
    <w:p w14:paraId="2062D1E0" w14:textId="0681A011" w:rsidR="00535BA0" w:rsidRPr="00BD4883" w:rsidRDefault="00DA4B2C" w:rsidP="00535BA0">
      <w:pPr>
        <w:pStyle w:val="NoSpacing"/>
        <w:jc w:val="both"/>
        <w:rPr>
          <w:rFonts w:cs="Arial"/>
        </w:rPr>
      </w:pPr>
      <w:r w:rsidRPr="00BD4883">
        <w:rPr>
          <w:rFonts w:cs="Arial"/>
        </w:rPr>
        <w:t>In each session the students will first be introduced to biological function, pathology, laboratory medicine, diagnostic imaging and therapeutic interventions covering specific medical specialties. On this basis the students will gain an understanding as to the types of information being gathered and what is important to the clinical professionals. The second part of each module will consist of a case study demonstrating the overlap of biology, medicine, and health informatics. Throughout the modules, the students will also be introduced to various aspects of American healthcare system and healthcare IT.</w:t>
      </w:r>
    </w:p>
    <w:p w14:paraId="35E6511E" w14:textId="77777777" w:rsidR="00DA4B2C" w:rsidRPr="00BD4883" w:rsidRDefault="00DA4B2C" w:rsidP="00535BA0">
      <w:pPr>
        <w:pStyle w:val="NoSpacing"/>
        <w:jc w:val="both"/>
        <w:rPr>
          <w:rFonts w:cs="Arial"/>
        </w:rPr>
      </w:pPr>
    </w:p>
    <w:p w14:paraId="2E1EDA05" w14:textId="77777777" w:rsidR="007935B0" w:rsidRPr="00BD4883" w:rsidRDefault="007935B0" w:rsidP="00535BA0">
      <w:pPr>
        <w:pStyle w:val="NoSpacing"/>
        <w:rPr>
          <w:rFonts w:cs="Arial"/>
        </w:rPr>
      </w:pPr>
    </w:p>
    <w:p w14:paraId="6682CF7E" w14:textId="77777777" w:rsidR="00DA4B2C" w:rsidRPr="00BD4883" w:rsidRDefault="00DA4B2C" w:rsidP="00DA4B2C">
      <w:pPr>
        <w:pBdr>
          <w:bottom w:val="single" w:sz="12" w:space="0" w:color="CC0000"/>
        </w:pBdr>
        <w:spacing w:before="100" w:beforeAutospacing="1" w:after="408" w:line="432" w:lineRule="atLeast"/>
        <w:outlineLvl w:val="1"/>
        <w:rPr>
          <w:rFonts w:eastAsia="Times New Roman" w:cs="Arial"/>
          <w:b/>
          <w:bCs/>
          <w:color w:val="000000"/>
          <w:sz w:val="31"/>
          <w:szCs w:val="31"/>
        </w:rPr>
      </w:pPr>
      <w:r w:rsidRPr="00BD4883">
        <w:rPr>
          <w:rFonts w:eastAsia="Times New Roman" w:cs="Arial"/>
          <w:b/>
          <w:bCs/>
          <w:color w:val="000000"/>
          <w:sz w:val="31"/>
          <w:szCs w:val="31"/>
        </w:rPr>
        <w:t>Recommended textbook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DA4B2C" w:rsidRPr="00BD4883" w14:paraId="2E49B0F8" w14:textId="77777777" w:rsidTr="00715436">
        <w:trPr>
          <w:tblCellSpacing w:w="15" w:type="dxa"/>
        </w:trPr>
        <w:tc>
          <w:tcPr>
            <w:tcW w:w="0" w:type="auto"/>
            <w:vAlign w:val="center"/>
            <w:hideMark/>
          </w:tcPr>
          <w:p w14:paraId="76BBD782" w14:textId="0823FB8F" w:rsidR="00F679AE" w:rsidRDefault="00F679AE" w:rsidP="00715436">
            <w:pPr>
              <w:spacing w:before="100" w:beforeAutospacing="1" w:after="100" w:afterAutospacing="1" w:line="432" w:lineRule="atLeast"/>
              <w:ind w:left="720"/>
              <w:rPr>
                <w:rFonts w:eastAsia="Times New Roman" w:cs="Arial"/>
              </w:rPr>
            </w:pPr>
            <w:r>
              <w:rPr>
                <w:rFonts w:eastAsia="Times New Roman" w:cs="Arial"/>
              </w:rPr>
              <w:t>Please see the free online textbook</w:t>
            </w:r>
          </w:p>
          <w:p w14:paraId="4100D6E2" w14:textId="0743D06F" w:rsidR="00F679AE" w:rsidRDefault="00000000" w:rsidP="00715436">
            <w:pPr>
              <w:spacing w:before="100" w:beforeAutospacing="1" w:after="100" w:afterAutospacing="1" w:line="432" w:lineRule="atLeast"/>
              <w:ind w:left="720"/>
              <w:rPr>
                <w:rFonts w:eastAsia="Times New Roman" w:cs="Arial"/>
              </w:rPr>
            </w:pPr>
            <w:hyperlink r:id="rId8" w:history="1">
              <w:r w:rsidR="0080050A" w:rsidRPr="0080050A">
                <w:rPr>
                  <w:rStyle w:val="Hyperlink"/>
                  <w:rFonts w:eastAsia="Times New Roman" w:cs="Arial"/>
                </w:rPr>
                <w:t>Anatomy &amp; Physiology – Open Textbook (</w:t>
              </w:r>
              <w:proofErr w:type="spellStart"/>
              <w:proofErr w:type="gramStart"/>
              <w:r w:rsidR="0080050A" w:rsidRPr="0080050A">
                <w:rPr>
                  <w:rStyle w:val="Hyperlink"/>
                  <w:rFonts w:eastAsia="Times New Roman" w:cs="Arial"/>
                </w:rPr>
                <w:t>oregonstate.education</w:t>
              </w:r>
              <w:proofErr w:type="spellEnd"/>
              <w:proofErr w:type="gramEnd"/>
              <w:r w:rsidR="0080050A" w:rsidRPr="0080050A">
                <w:rPr>
                  <w:rStyle w:val="Hyperlink"/>
                  <w:rFonts w:eastAsia="Times New Roman" w:cs="Arial"/>
                </w:rPr>
                <w:t>)</w:t>
              </w:r>
            </w:hyperlink>
          </w:p>
          <w:p w14:paraId="435F0684" w14:textId="758E7F70" w:rsidR="00DA4B2C" w:rsidRPr="00BD4883" w:rsidRDefault="00DA4B2C" w:rsidP="00715436">
            <w:pPr>
              <w:spacing w:before="100" w:beforeAutospacing="1" w:after="100" w:afterAutospacing="1" w:line="432" w:lineRule="atLeast"/>
              <w:ind w:left="720"/>
              <w:rPr>
                <w:rFonts w:eastAsia="Times New Roman" w:cs="Arial"/>
              </w:rPr>
            </w:pPr>
            <w:r w:rsidRPr="00BD4883">
              <w:rPr>
                <w:rFonts w:eastAsia="Times New Roman" w:cs="Arial"/>
                <w:noProof/>
                <w:lang w:eastAsia="zh-CN"/>
              </w:rPr>
              <w:lastRenderedPageBreak/>
              <w:drawing>
                <wp:anchor distT="0" distB="0" distL="114300" distR="114300" simplePos="0" relativeHeight="251661312" behindDoc="1" locked="0" layoutInCell="1" allowOverlap="1" wp14:anchorId="0661DFEC" wp14:editId="6CCB9D5F">
                  <wp:simplePos x="0" y="0"/>
                  <wp:positionH relativeFrom="column">
                    <wp:posOffset>457200</wp:posOffset>
                  </wp:positionH>
                  <wp:positionV relativeFrom="paragraph">
                    <wp:posOffset>0</wp:posOffset>
                  </wp:positionV>
                  <wp:extent cx="1238250" cy="1623688"/>
                  <wp:effectExtent l="0" t="0" r="0" b="0"/>
                  <wp:wrapTight wrapText="bothSides">
                    <wp:wrapPolygon edited="0">
                      <wp:start x="0" y="0"/>
                      <wp:lineTo x="0" y="21296"/>
                      <wp:lineTo x="21268" y="21296"/>
                      <wp:lineTo x="21268" y="0"/>
                      <wp:lineTo x="0" y="0"/>
                    </wp:wrapPolygon>
                  </wp:wrapTight>
                  <wp:docPr id="29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9"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1623688"/>
                          </a:xfrm>
                          <a:prstGeom prst="rect">
                            <a:avLst/>
                          </a:prstGeom>
                          <a:noFill/>
                          <a:ln>
                            <a:noFill/>
                          </a:ln>
                        </pic:spPr>
                      </pic:pic>
                    </a:graphicData>
                  </a:graphic>
                </wp:anchor>
              </w:drawing>
            </w:r>
          </w:p>
          <w:p w14:paraId="2F89C574" w14:textId="77777777" w:rsidR="00DA4B2C" w:rsidRPr="00BD4883" w:rsidRDefault="00DA4B2C" w:rsidP="00DA4B2C">
            <w:pPr>
              <w:numPr>
                <w:ilvl w:val="0"/>
                <w:numId w:val="21"/>
              </w:numPr>
              <w:spacing w:before="100" w:beforeAutospacing="1" w:after="100" w:afterAutospacing="1" w:line="432" w:lineRule="atLeast"/>
              <w:rPr>
                <w:rFonts w:eastAsia="Times New Roman" w:cs="Arial"/>
              </w:rPr>
            </w:pPr>
            <w:r w:rsidRPr="00BD4883">
              <w:rPr>
                <w:rFonts w:eastAsia="Times New Roman" w:cs="Arial"/>
              </w:rPr>
              <w:t>Trotter, F. and Uhlman, D. (2011). Hacking healthcare: A guide to standards, workflows, and meaningful use. O'Reilly Media. ISBN 9781449305024.</w:t>
            </w:r>
          </w:p>
          <w:p w14:paraId="5368C244" w14:textId="77777777" w:rsidR="00DA4B2C" w:rsidRPr="00BD4883" w:rsidRDefault="00DA4B2C" w:rsidP="00715436">
            <w:pPr>
              <w:spacing w:after="100" w:afterAutospacing="1" w:line="432" w:lineRule="atLeast"/>
              <w:ind w:left="720"/>
              <w:rPr>
                <w:rFonts w:eastAsia="Times New Roman" w:cs="Arial"/>
              </w:rPr>
            </w:pPr>
            <w:r w:rsidRPr="00BD4883">
              <w:rPr>
                <w:rFonts w:eastAsia="Times New Roman" w:cs="Arial"/>
              </w:rPr>
              <w:t>This textbook can be purchased from </w:t>
            </w:r>
            <w:hyperlink r:id="rId10" w:tgtFrame="_blank" w:history="1">
              <w:r w:rsidRPr="00BD4883">
                <w:rPr>
                  <w:rFonts w:eastAsia="Times New Roman" w:cs="Arial"/>
                  <w:color w:val="38556F"/>
                  <w:u w:val="single"/>
                </w:rPr>
                <w:t>Barnes &amp; Noble at Boston University</w:t>
              </w:r>
            </w:hyperlink>
            <w:r w:rsidRPr="00BD4883">
              <w:rPr>
                <w:rFonts w:eastAsia="Times New Roman" w:cs="Arial"/>
              </w:rPr>
              <w:t>.</w:t>
            </w:r>
          </w:p>
          <w:p w14:paraId="74F17D59" w14:textId="77777777" w:rsidR="00DA4B2C" w:rsidRPr="00BD4883" w:rsidRDefault="00DA4B2C" w:rsidP="00715436">
            <w:pPr>
              <w:spacing w:after="100" w:afterAutospacing="1" w:line="432" w:lineRule="atLeast"/>
              <w:rPr>
                <w:rFonts w:eastAsia="Times New Roman" w:cs="Arial"/>
              </w:rPr>
            </w:pPr>
            <w:r w:rsidRPr="00BD4883">
              <w:rPr>
                <w:rFonts w:eastAsia="Times New Roman" w:cs="Arial"/>
                <w:noProof/>
                <w:lang w:eastAsia="zh-CN"/>
              </w:rPr>
              <w:drawing>
                <wp:anchor distT="0" distB="0" distL="114300" distR="114300" simplePos="0" relativeHeight="251662336" behindDoc="1" locked="0" layoutInCell="1" allowOverlap="1" wp14:anchorId="5A61342E" wp14:editId="2B2592B0">
                  <wp:simplePos x="0" y="0"/>
                  <wp:positionH relativeFrom="column">
                    <wp:posOffset>0</wp:posOffset>
                  </wp:positionH>
                  <wp:positionV relativeFrom="paragraph">
                    <wp:posOffset>635</wp:posOffset>
                  </wp:positionV>
                  <wp:extent cx="1104900" cy="1427871"/>
                  <wp:effectExtent l="0" t="0" r="0" b="1270"/>
                  <wp:wrapTight wrapText="bothSides">
                    <wp:wrapPolygon edited="0">
                      <wp:start x="0" y="0"/>
                      <wp:lineTo x="0" y="21331"/>
                      <wp:lineTo x="21228" y="21331"/>
                      <wp:lineTo x="21228" y="0"/>
                      <wp:lineTo x="0" y="0"/>
                    </wp:wrapPolygon>
                  </wp:wrapTight>
                  <wp:docPr id="276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1"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1427871"/>
                          </a:xfrm>
                          <a:prstGeom prst="rect">
                            <a:avLst/>
                          </a:prstGeom>
                          <a:noFill/>
                          <a:ln>
                            <a:noFill/>
                          </a:ln>
                        </pic:spPr>
                      </pic:pic>
                    </a:graphicData>
                  </a:graphic>
                </wp:anchor>
              </w:drawing>
            </w:r>
          </w:p>
          <w:p w14:paraId="6F62A695" w14:textId="77777777" w:rsidR="00DA4B2C" w:rsidRPr="00BD4883" w:rsidRDefault="00DA4B2C" w:rsidP="00DA4B2C">
            <w:pPr>
              <w:numPr>
                <w:ilvl w:val="0"/>
                <w:numId w:val="21"/>
              </w:numPr>
              <w:spacing w:before="100" w:beforeAutospacing="1" w:after="100" w:afterAutospacing="1" w:line="432" w:lineRule="atLeast"/>
              <w:rPr>
                <w:rFonts w:eastAsia="Times New Roman" w:cs="Arial"/>
              </w:rPr>
            </w:pPr>
            <w:r w:rsidRPr="00BD4883">
              <w:rPr>
                <w:rFonts w:eastAsia="Times New Roman" w:cs="Arial"/>
              </w:rPr>
              <w:t>Jane Rice. (2014) Medical Terminology for Health Care Professionals. 8th Edition. Prentice Hall. ISBN 978-0133429541</w:t>
            </w:r>
          </w:p>
          <w:p w14:paraId="546A16AA" w14:textId="62D64315" w:rsidR="00DA4B2C" w:rsidRPr="00BD4883" w:rsidRDefault="00DA4B2C" w:rsidP="004C0A15">
            <w:pPr>
              <w:spacing w:after="100" w:afterAutospacing="1" w:line="432" w:lineRule="atLeast"/>
              <w:ind w:left="720"/>
              <w:rPr>
                <w:rFonts w:eastAsia="Times New Roman" w:cs="Arial"/>
              </w:rPr>
            </w:pPr>
            <w:r w:rsidRPr="00BD4883">
              <w:rPr>
                <w:rFonts w:eastAsia="Times New Roman" w:cs="Arial"/>
              </w:rPr>
              <w:t>This textbook can be purchased from </w:t>
            </w:r>
            <w:hyperlink r:id="rId12" w:tgtFrame="_blank" w:history="1">
              <w:r w:rsidRPr="00BD4883">
                <w:rPr>
                  <w:rFonts w:eastAsia="Times New Roman" w:cs="Arial"/>
                  <w:color w:val="38556F"/>
                  <w:u w:val="single"/>
                </w:rPr>
                <w:t>Barnes &amp; Noble at Boston University</w:t>
              </w:r>
            </w:hyperlink>
            <w:r w:rsidRPr="00BD4883">
              <w:rPr>
                <w:rFonts w:eastAsia="Times New Roman" w:cs="Arial"/>
              </w:rPr>
              <w:t>.</w:t>
            </w:r>
            <w:r w:rsidRPr="00BD4883">
              <w:rPr>
                <w:rFonts w:eastAsia="Times New Roman" w:cs="Arial"/>
                <w:noProof/>
                <w:lang w:eastAsia="zh-CN"/>
              </w:rPr>
              <w:drawing>
                <wp:anchor distT="0" distB="0" distL="114300" distR="114300" simplePos="0" relativeHeight="251663360" behindDoc="1" locked="0" layoutInCell="1" allowOverlap="1" wp14:anchorId="5B7925E1" wp14:editId="484A08EF">
                  <wp:simplePos x="0" y="0"/>
                  <wp:positionH relativeFrom="column">
                    <wp:posOffset>0</wp:posOffset>
                  </wp:positionH>
                  <wp:positionV relativeFrom="paragraph">
                    <wp:posOffset>-4084320</wp:posOffset>
                  </wp:positionV>
                  <wp:extent cx="1171575" cy="1913050"/>
                  <wp:effectExtent l="0" t="0" r="0" b="0"/>
                  <wp:wrapTight wrapText="bothSides">
                    <wp:wrapPolygon edited="0">
                      <wp:start x="0" y="0"/>
                      <wp:lineTo x="0" y="21299"/>
                      <wp:lineTo x="21073" y="21299"/>
                      <wp:lineTo x="2107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1575" cy="1913050"/>
                          </a:xfrm>
                          <a:prstGeom prst="rect">
                            <a:avLst/>
                          </a:prstGeom>
                          <a:noFill/>
                        </pic:spPr>
                      </pic:pic>
                    </a:graphicData>
                  </a:graphic>
                </wp:anchor>
              </w:drawing>
            </w:r>
          </w:p>
          <w:p w14:paraId="04F46169" w14:textId="77777777" w:rsidR="00DA4B2C" w:rsidRPr="00BD4883" w:rsidRDefault="00DA4B2C" w:rsidP="00DA4B2C">
            <w:pPr>
              <w:numPr>
                <w:ilvl w:val="0"/>
                <w:numId w:val="22"/>
              </w:numPr>
              <w:spacing w:before="100" w:beforeAutospacing="1" w:after="100" w:afterAutospacing="1" w:line="432" w:lineRule="atLeast"/>
              <w:rPr>
                <w:rFonts w:eastAsia="Times New Roman" w:cs="Arial"/>
              </w:rPr>
            </w:pPr>
            <w:r w:rsidRPr="00BD4883">
              <w:rPr>
                <w:rFonts w:eastAsia="Times New Roman" w:cs="Arial"/>
              </w:rPr>
              <w:t xml:space="preserve">Einbinder L, </w:t>
            </w:r>
            <w:proofErr w:type="gramStart"/>
            <w:r w:rsidRPr="00BD4883">
              <w:rPr>
                <w:rFonts w:eastAsia="Times New Roman" w:cs="Arial"/>
              </w:rPr>
              <w:t>Lorenzi  NM</w:t>
            </w:r>
            <w:proofErr w:type="gramEnd"/>
            <w:r w:rsidRPr="00BD4883">
              <w:rPr>
                <w:rFonts w:eastAsia="Times New Roman" w:cs="Arial"/>
              </w:rPr>
              <w:t>, Ash J, Gadd CS, Einbinder J. (2010). Transforming Health Care Through Information: Case Studies. 3rd edition, Springer. (Available electronically through BU library).</w:t>
            </w:r>
          </w:p>
        </w:tc>
      </w:tr>
    </w:tbl>
    <w:p w14:paraId="60E3DE75" w14:textId="77777777" w:rsidR="00085684" w:rsidRPr="00BD4883" w:rsidRDefault="00085684" w:rsidP="00085684">
      <w:pPr>
        <w:pStyle w:val="NoSpacing"/>
        <w:rPr>
          <w:rFonts w:cs="Arial"/>
        </w:rPr>
      </w:pPr>
    </w:p>
    <w:p w14:paraId="7D35E536" w14:textId="77777777" w:rsidR="004C0A15" w:rsidRDefault="004C0A15" w:rsidP="00085684">
      <w:pPr>
        <w:pStyle w:val="NoSpacing"/>
        <w:rPr>
          <w:rFonts w:cs="Arial"/>
          <w:b/>
        </w:rPr>
      </w:pPr>
    </w:p>
    <w:p w14:paraId="20DA29D7" w14:textId="64A085B2" w:rsidR="00085684" w:rsidRPr="00BD4883" w:rsidRDefault="00085684" w:rsidP="00085684">
      <w:pPr>
        <w:pStyle w:val="NoSpacing"/>
        <w:rPr>
          <w:rFonts w:cs="Arial"/>
          <w:b/>
        </w:rPr>
      </w:pPr>
      <w:r w:rsidRPr="00BD4883">
        <w:rPr>
          <w:rFonts w:cs="Arial"/>
          <w:b/>
        </w:rPr>
        <w:t>Course Learning Objectives</w:t>
      </w:r>
    </w:p>
    <w:p w14:paraId="6C83CFD4" w14:textId="77777777" w:rsidR="00085684" w:rsidRPr="00BD4883" w:rsidRDefault="00085684" w:rsidP="00085684">
      <w:pPr>
        <w:pStyle w:val="NoSpacing"/>
        <w:ind w:left="810" w:hanging="450"/>
        <w:rPr>
          <w:rFonts w:cs="Arial"/>
        </w:rPr>
      </w:pPr>
      <w:r w:rsidRPr="00BD4883">
        <w:rPr>
          <w:rFonts w:cs="Arial"/>
        </w:rPr>
        <w:t>•</w:t>
      </w:r>
      <w:r w:rsidRPr="00BD4883">
        <w:rPr>
          <w:rFonts w:cs="Arial"/>
        </w:rPr>
        <w:tab/>
        <w:t>Identify the anatomy, physiology, and pathophysiology of human body systems</w:t>
      </w:r>
    </w:p>
    <w:p w14:paraId="17C8F719" w14:textId="77777777" w:rsidR="00085684" w:rsidRPr="00BD4883" w:rsidRDefault="00085684" w:rsidP="00085684">
      <w:pPr>
        <w:pStyle w:val="NoSpacing"/>
        <w:ind w:left="810" w:hanging="450"/>
        <w:rPr>
          <w:rFonts w:cs="Arial"/>
        </w:rPr>
      </w:pPr>
      <w:r w:rsidRPr="00BD4883">
        <w:rPr>
          <w:rFonts w:cs="Arial"/>
        </w:rPr>
        <w:t>•</w:t>
      </w:r>
      <w:r w:rsidRPr="00BD4883">
        <w:rPr>
          <w:rFonts w:cs="Arial"/>
        </w:rPr>
        <w:tab/>
        <w:t>Recognize common diagnostic methods, treatments, and medical procedures</w:t>
      </w:r>
    </w:p>
    <w:p w14:paraId="13BC2FF5" w14:textId="77777777" w:rsidR="00085684" w:rsidRPr="00BD4883" w:rsidRDefault="00085684" w:rsidP="00085684">
      <w:pPr>
        <w:pStyle w:val="NoSpacing"/>
        <w:ind w:left="810" w:hanging="450"/>
        <w:rPr>
          <w:rFonts w:cs="Arial"/>
        </w:rPr>
      </w:pPr>
      <w:r w:rsidRPr="00BD4883">
        <w:rPr>
          <w:rFonts w:cs="Arial"/>
        </w:rPr>
        <w:t>•</w:t>
      </w:r>
      <w:r w:rsidRPr="00BD4883">
        <w:rPr>
          <w:rFonts w:cs="Arial"/>
        </w:rPr>
        <w:tab/>
        <w:t>Understand medical decision making in the diagnosis and treatment of human organ system disease</w:t>
      </w:r>
    </w:p>
    <w:p w14:paraId="3588947C" w14:textId="77777777" w:rsidR="00085684" w:rsidRPr="00BD4883" w:rsidRDefault="00085684" w:rsidP="00085684">
      <w:pPr>
        <w:pStyle w:val="NoSpacing"/>
        <w:ind w:left="810" w:hanging="450"/>
        <w:rPr>
          <w:rFonts w:cs="Arial"/>
        </w:rPr>
      </w:pPr>
      <w:r w:rsidRPr="00BD4883">
        <w:rPr>
          <w:rFonts w:cs="Arial"/>
        </w:rPr>
        <w:t>•</w:t>
      </w:r>
      <w:r w:rsidRPr="00BD4883">
        <w:rPr>
          <w:rFonts w:cs="Arial"/>
        </w:rPr>
        <w:tab/>
        <w:t>Predict the IT needs of healthcare providers as they diagnose and treat common diseases</w:t>
      </w:r>
    </w:p>
    <w:p w14:paraId="53B521A7" w14:textId="77777777" w:rsidR="00085684" w:rsidRPr="00BD4883" w:rsidRDefault="00085684" w:rsidP="00085684">
      <w:pPr>
        <w:pStyle w:val="NoSpacing"/>
        <w:ind w:left="810" w:hanging="450"/>
        <w:rPr>
          <w:rFonts w:cs="Arial"/>
        </w:rPr>
      </w:pPr>
      <w:r w:rsidRPr="00BD4883">
        <w:rPr>
          <w:rFonts w:cs="Arial"/>
        </w:rPr>
        <w:t>•</w:t>
      </w:r>
      <w:r w:rsidRPr="00BD4883">
        <w:rPr>
          <w:rFonts w:cs="Arial"/>
        </w:rPr>
        <w:tab/>
        <w:t>Describe IT systems needed to support modern diagnostic imaging</w:t>
      </w:r>
    </w:p>
    <w:p w14:paraId="66D8DDE1" w14:textId="77777777" w:rsidR="00085684" w:rsidRPr="00BD4883" w:rsidRDefault="00085684" w:rsidP="00085684">
      <w:pPr>
        <w:pStyle w:val="NoSpacing"/>
        <w:ind w:left="810" w:hanging="450"/>
        <w:rPr>
          <w:rFonts w:cs="Arial"/>
        </w:rPr>
      </w:pPr>
      <w:r w:rsidRPr="00BD4883">
        <w:rPr>
          <w:rFonts w:cs="Arial"/>
        </w:rPr>
        <w:t>•</w:t>
      </w:r>
      <w:r w:rsidRPr="00BD4883">
        <w:rPr>
          <w:rFonts w:cs="Arial"/>
        </w:rPr>
        <w:tab/>
        <w:t>Understand the transfer of information from various sources to the centralized electronic health record</w:t>
      </w:r>
    </w:p>
    <w:p w14:paraId="28C4F541" w14:textId="77777777" w:rsidR="00085684" w:rsidRPr="00BD4883" w:rsidRDefault="00085684" w:rsidP="00085684">
      <w:pPr>
        <w:pStyle w:val="NoSpacing"/>
        <w:ind w:left="810" w:hanging="450"/>
        <w:rPr>
          <w:rFonts w:cs="Arial"/>
        </w:rPr>
      </w:pPr>
      <w:r w:rsidRPr="00BD4883">
        <w:rPr>
          <w:rFonts w:cs="Arial"/>
        </w:rPr>
        <w:t>•</w:t>
      </w:r>
      <w:r w:rsidRPr="00BD4883">
        <w:rPr>
          <w:rFonts w:cs="Arial"/>
        </w:rPr>
        <w:tab/>
        <w:t>Learn the basic delivery, financial and legal aspects of the American healthcare system</w:t>
      </w:r>
    </w:p>
    <w:p w14:paraId="27018366" w14:textId="77777777" w:rsidR="00901F06" w:rsidRPr="00BD4883" w:rsidRDefault="00901F06" w:rsidP="00901F06">
      <w:pPr>
        <w:pStyle w:val="NoSpacing"/>
        <w:rPr>
          <w:rFonts w:cs="Arial"/>
        </w:rPr>
      </w:pPr>
    </w:p>
    <w:p w14:paraId="001AB028" w14:textId="77777777" w:rsidR="007A398B" w:rsidRPr="00BD4883" w:rsidRDefault="007A398B" w:rsidP="008D1CB4">
      <w:pPr>
        <w:pStyle w:val="NoSpacing"/>
        <w:rPr>
          <w:rFonts w:cs="Arial"/>
          <w:b/>
        </w:rPr>
      </w:pPr>
      <w:r w:rsidRPr="00BD4883">
        <w:rPr>
          <w:rFonts w:cs="Arial"/>
          <w:b/>
        </w:rPr>
        <w:t>Class Policies</w:t>
      </w:r>
    </w:p>
    <w:p w14:paraId="1AE4A8AE" w14:textId="15BE33E3" w:rsidR="007A398B" w:rsidRPr="00BD4883" w:rsidRDefault="007A398B" w:rsidP="00C934EE">
      <w:pPr>
        <w:pStyle w:val="NoSpacing"/>
        <w:numPr>
          <w:ilvl w:val="0"/>
          <w:numId w:val="1"/>
        </w:numPr>
        <w:rPr>
          <w:rFonts w:cs="Arial"/>
          <w:b/>
        </w:rPr>
      </w:pPr>
      <w:r w:rsidRPr="00BD4883">
        <w:rPr>
          <w:rFonts w:cs="Arial"/>
          <w:b/>
        </w:rPr>
        <w:t>Attendance &amp; Absences</w:t>
      </w:r>
      <w:r w:rsidRPr="00BD4883">
        <w:rPr>
          <w:rFonts w:cs="Arial"/>
        </w:rPr>
        <w:t xml:space="preserve"> – </w:t>
      </w:r>
      <w:r w:rsidR="00901F06" w:rsidRPr="00BD4883">
        <w:rPr>
          <w:rFonts w:cs="Arial"/>
        </w:rPr>
        <w:t>Full attendance</w:t>
      </w:r>
      <w:r w:rsidR="00BD4883">
        <w:rPr>
          <w:rFonts w:cs="Arial"/>
        </w:rPr>
        <w:t xml:space="preserve"> and participation is encouraged.</w:t>
      </w:r>
    </w:p>
    <w:p w14:paraId="594619A7" w14:textId="77777777" w:rsidR="00BD4883" w:rsidRPr="00BD4883" w:rsidRDefault="00BD4883" w:rsidP="00BD4883">
      <w:pPr>
        <w:pStyle w:val="NoSpacing"/>
        <w:ind w:left="720"/>
        <w:rPr>
          <w:rFonts w:cs="Arial"/>
          <w:b/>
        </w:rPr>
      </w:pPr>
    </w:p>
    <w:p w14:paraId="5127CCE4" w14:textId="3CD93D84" w:rsidR="00901F06" w:rsidRPr="00BD4883" w:rsidRDefault="007A398B" w:rsidP="00901F06">
      <w:pPr>
        <w:pStyle w:val="NoSpacing"/>
        <w:numPr>
          <w:ilvl w:val="0"/>
          <w:numId w:val="1"/>
        </w:numPr>
        <w:rPr>
          <w:rFonts w:cs="Arial"/>
          <w:b/>
        </w:rPr>
      </w:pPr>
      <w:r w:rsidRPr="00BD4883">
        <w:rPr>
          <w:rFonts w:cs="Arial"/>
          <w:b/>
        </w:rPr>
        <w:t xml:space="preserve">Assignment Completion &amp; Late Work </w:t>
      </w:r>
      <w:r w:rsidRPr="00BD4883">
        <w:rPr>
          <w:rFonts w:cs="Arial"/>
        </w:rPr>
        <w:t xml:space="preserve">– </w:t>
      </w:r>
      <w:r w:rsidR="00901F06" w:rsidRPr="00BD4883">
        <w:rPr>
          <w:rFonts w:cs="Arial"/>
        </w:rPr>
        <w:t xml:space="preserve">All assignments should be submitted on time. If there is a delay, the student must be in touch with the instructor. Late submissions without reasons will result in grade deduction.  </w:t>
      </w:r>
    </w:p>
    <w:p w14:paraId="7519D7AD" w14:textId="2D90CA9B" w:rsidR="00BD4883" w:rsidRPr="00BD4883" w:rsidRDefault="00BD4883" w:rsidP="00BD4883">
      <w:pPr>
        <w:pStyle w:val="NoSpacing"/>
        <w:rPr>
          <w:rFonts w:cs="Arial"/>
          <w:b/>
        </w:rPr>
      </w:pPr>
    </w:p>
    <w:p w14:paraId="7EEC1919" w14:textId="77777777" w:rsidR="007504B4" w:rsidRPr="00BD4883" w:rsidRDefault="007A398B" w:rsidP="00782DAC">
      <w:pPr>
        <w:pStyle w:val="NoSpacing"/>
        <w:numPr>
          <w:ilvl w:val="0"/>
          <w:numId w:val="1"/>
        </w:numPr>
        <w:rPr>
          <w:rFonts w:cs="Arial"/>
        </w:rPr>
      </w:pPr>
      <w:r w:rsidRPr="00BD4883">
        <w:rPr>
          <w:rFonts w:cs="Arial"/>
          <w:b/>
        </w:rPr>
        <w:t xml:space="preserve">Academic Conduct Code </w:t>
      </w:r>
      <w:r w:rsidRPr="00BD4883">
        <w:rPr>
          <w:rFonts w:cs="Arial"/>
        </w:rPr>
        <w:t xml:space="preserve">–Cheating and plagiarism will not be tolerated in any Metropolitan College course.  They will result in no credit for the assignment or examination and may lead to disciplinary actions.  Please take the time to review the </w:t>
      </w:r>
      <w:r w:rsidR="006662F7" w:rsidRPr="00BD4883">
        <w:rPr>
          <w:rFonts w:cs="Arial"/>
        </w:rPr>
        <w:t>Student Academic Conduct Code:</w:t>
      </w:r>
      <w:r w:rsidRPr="00BD4883">
        <w:rPr>
          <w:rFonts w:cs="Arial"/>
        </w:rPr>
        <w:t xml:space="preserve"> </w:t>
      </w:r>
      <w:hyperlink r:id="rId14" w:history="1">
        <w:r w:rsidR="006662F7" w:rsidRPr="00BD4883">
          <w:rPr>
            <w:rStyle w:val="Hyperlink"/>
            <w:rFonts w:cs="Arial"/>
          </w:rPr>
          <w:t>http://www.bu.edu/met/metropolitan_college_people/student/resources/conduct/code.html</w:t>
        </w:r>
      </w:hyperlink>
      <w:r w:rsidRPr="00BD4883">
        <w:rPr>
          <w:rFonts w:cs="Arial"/>
        </w:rPr>
        <w:t xml:space="preserve">.  </w:t>
      </w:r>
    </w:p>
    <w:p w14:paraId="428BBEDB" w14:textId="77777777" w:rsidR="007504B4" w:rsidRPr="00BD4883" w:rsidRDefault="007504B4" w:rsidP="006662F7">
      <w:pPr>
        <w:pStyle w:val="NoSpacing"/>
        <w:ind w:left="720"/>
        <w:rPr>
          <w:rFonts w:cs="Arial"/>
        </w:rPr>
      </w:pPr>
    </w:p>
    <w:p w14:paraId="0625AB42" w14:textId="77777777" w:rsidR="007A398B" w:rsidRPr="00BD4883" w:rsidRDefault="007504B4" w:rsidP="006662F7">
      <w:pPr>
        <w:pStyle w:val="NoSpacing"/>
        <w:ind w:left="720"/>
        <w:rPr>
          <w:rFonts w:cs="Arial"/>
          <w:b/>
        </w:rPr>
      </w:pPr>
      <w:r w:rsidRPr="00BD4883">
        <w:rPr>
          <w:rFonts w:cs="Arial"/>
        </w:rPr>
        <w:t>NOTE: [</w:t>
      </w:r>
      <w:r w:rsidR="00F962C5" w:rsidRPr="00BD4883">
        <w:rPr>
          <w:rFonts w:cs="Arial"/>
        </w:rPr>
        <w:t xml:space="preserve">This should not be understood as a discouragement for discussing the material or your </w:t>
      </w:r>
      <w:proofErr w:type="gramStart"/>
      <w:r w:rsidR="00F962C5" w:rsidRPr="00BD4883">
        <w:rPr>
          <w:rFonts w:cs="Arial"/>
        </w:rPr>
        <w:t>particular approach</w:t>
      </w:r>
      <w:proofErr w:type="gramEnd"/>
      <w:r w:rsidR="00F962C5" w:rsidRPr="00BD4883">
        <w:rPr>
          <w:rFonts w:cs="Arial"/>
        </w:rPr>
        <w:t xml:space="preserve"> to a problem with other students in the class.  On the contrary – you should share your thoughts, questions and solutions.  Naturally, if you choose to work in a group, you will be expected to come up with more than one and highly original solutions</w:t>
      </w:r>
      <w:r w:rsidRPr="00BD4883">
        <w:rPr>
          <w:rFonts w:cs="Arial"/>
        </w:rPr>
        <w:t xml:space="preserve"> rather than the same mistakes.]</w:t>
      </w:r>
    </w:p>
    <w:p w14:paraId="6E27B254" w14:textId="77777777" w:rsidR="00F962C5" w:rsidRPr="00BD4883" w:rsidRDefault="00F962C5" w:rsidP="00F962C5">
      <w:pPr>
        <w:pStyle w:val="NoSpacing"/>
        <w:rPr>
          <w:rFonts w:cs="Arial"/>
          <w:b/>
        </w:rPr>
      </w:pPr>
    </w:p>
    <w:p w14:paraId="03F138EE" w14:textId="77777777" w:rsidR="00F962C5" w:rsidRPr="00BD4883" w:rsidRDefault="00F962C5" w:rsidP="00F962C5">
      <w:pPr>
        <w:pStyle w:val="NoSpacing"/>
        <w:rPr>
          <w:rFonts w:cs="Arial"/>
        </w:rPr>
      </w:pPr>
      <w:r w:rsidRPr="00BD4883">
        <w:rPr>
          <w:rFonts w:cs="Arial"/>
          <w:b/>
        </w:rPr>
        <w:t>Grading Criteria</w:t>
      </w:r>
    </w:p>
    <w:p w14:paraId="5821B20A" w14:textId="77777777" w:rsidR="00901F06" w:rsidRPr="00BD4883" w:rsidRDefault="00901F06" w:rsidP="00901F06">
      <w:pPr>
        <w:pStyle w:val="NoSpacing"/>
        <w:numPr>
          <w:ilvl w:val="0"/>
          <w:numId w:val="3"/>
        </w:numPr>
        <w:rPr>
          <w:rFonts w:cs="Arial"/>
        </w:rPr>
      </w:pPr>
      <w:r w:rsidRPr="00BD4883">
        <w:rPr>
          <w:rFonts w:cs="Arial"/>
        </w:rPr>
        <w:t>Quizzes - This course will have 4 to 5 graded quizzes.</w:t>
      </w:r>
    </w:p>
    <w:p w14:paraId="1FB81096" w14:textId="77777777" w:rsidR="00901F06" w:rsidRPr="00BD4883" w:rsidRDefault="00901F06" w:rsidP="00901F06">
      <w:pPr>
        <w:pStyle w:val="NoSpacing"/>
        <w:numPr>
          <w:ilvl w:val="0"/>
          <w:numId w:val="3"/>
        </w:numPr>
        <w:rPr>
          <w:rFonts w:cs="Arial"/>
        </w:rPr>
      </w:pPr>
      <w:r w:rsidRPr="00BD4883">
        <w:rPr>
          <w:rFonts w:cs="Arial"/>
        </w:rPr>
        <w:t>Assignments - This course will have 4 to 5 graded assignments.</w:t>
      </w:r>
    </w:p>
    <w:p w14:paraId="736113FE" w14:textId="77777777" w:rsidR="00901F06" w:rsidRPr="00BD4883" w:rsidRDefault="00901F06" w:rsidP="00901F06">
      <w:pPr>
        <w:pStyle w:val="NoSpacing"/>
        <w:numPr>
          <w:ilvl w:val="0"/>
          <w:numId w:val="3"/>
        </w:numPr>
        <w:rPr>
          <w:rFonts w:cs="Arial"/>
        </w:rPr>
      </w:pPr>
      <w:r w:rsidRPr="00BD4883">
        <w:rPr>
          <w:rFonts w:cs="Arial"/>
        </w:rPr>
        <w:t xml:space="preserve">Discussions – There are 5 graded discussion forums that involve posting and reviewing the answers to the discussion topics. </w:t>
      </w:r>
    </w:p>
    <w:p w14:paraId="0161A874" w14:textId="77777777" w:rsidR="00901F06" w:rsidRPr="00BD4883" w:rsidRDefault="00901F06" w:rsidP="00901F06">
      <w:pPr>
        <w:pStyle w:val="NoSpacing"/>
        <w:numPr>
          <w:ilvl w:val="0"/>
          <w:numId w:val="3"/>
        </w:numPr>
        <w:rPr>
          <w:rFonts w:cs="Arial"/>
        </w:rPr>
      </w:pPr>
      <w:r w:rsidRPr="00BD4883">
        <w:rPr>
          <w:rFonts w:cs="Arial"/>
        </w:rPr>
        <w:t xml:space="preserve">Final Examination – The final exam will be comprehensive and will cover material from the entire course. It will be an open-book proctored exam consisting of questions similar to the ones in the assignments and the class project. </w:t>
      </w:r>
    </w:p>
    <w:p w14:paraId="1A880D22" w14:textId="77777777" w:rsidR="00901F06" w:rsidRPr="00BD4883" w:rsidRDefault="00901F06" w:rsidP="00901F06">
      <w:pPr>
        <w:pStyle w:val="NoSpacing"/>
        <w:rPr>
          <w:rFonts w:cs="Arial"/>
        </w:rPr>
      </w:pPr>
    </w:p>
    <w:p w14:paraId="706CA485" w14:textId="77777777" w:rsidR="00F962C5" w:rsidRPr="00BD4883" w:rsidRDefault="00901F06" w:rsidP="00901F06">
      <w:pPr>
        <w:pStyle w:val="NoSpacing"/>
        <w:ind w:left="360"/>
        <w:rPr>
          <w:rFonts w:cs="Arial"/>
        </w:rPr>
      </w:pPr>
      <w:r w:rsidRPr="00BD4883">
        <w:rPr>
          <w:rFonts w:cs="Arial"/>
        </w:rPr>
        <w:t>The final grade for this course will be based on the following:</w:t>
      </w: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449"/>
        <w:gridCol w:w="875"/>
      </w:tblGrid>
      <w:tr w:rsidR="00901F06" w:rsidRPr="00BD4883" w14:paraId="4A4D9ED2" w14:textId="77777777" w:rsidTr="00901F06">
        <w:trPr>
          <w:tblCellSpacing w:w="15" w:type="dxa"/>
        </w:trPr>
        <w:tc>
          <w:tcPr>
            <w:tcW w:w="0" w:type="auto"/>
            <w:vAlign w:val="center"/>
            <w:hideMark/>
          </w:tcPr>
          <w:p w14:paraId="2F578F57" w14:textId="77777777" w:rsidR="00901F06" w:rsidRPr="00BD4883" w:rsidRDefault="00901F06" w:rsidP="009F122F">
            <w:pPr>
              <w:tabs>
                <w:tab w:val="left" w:pos="615"/>
              </w:tabs>
              <w:spacing w:after="0" w:line="240" w:lineRule="auto"/>
              <w:rPr>
                <w:rFonts w:cs="Arial"/>
                <w:b/>
              </w:rPr>
            </w:pPr>
            <w:r w:rsidRPr="00BD4883">
              <w:rPr>
                <w:rFonts w:cs="Arial"/>
                <w:b/>
              </w:rPr>
              <w:t>Deliverable</w:t>
            </w:r>
          </w:p>
        </w:tc>
        <w:tc>
          <w:tcPr>
            <w:tcW w:w="0" w:type="auto"/>
            <w:vAlign w:val="center"/>
            <w:hideMark/>
          </w:tcPr>
          <w:p w14:paraId="4D22C789" w14:textId="77777777" w:rsidR="00901F06" w:rsidRPr="00BD4883" w:rsidRDefault="00901F06" w:rsidP="009F122F">
            <w:pPr>
              <w:tabs>
                <w:tab w:val="left" w:pos="615"/>
              </w:tabs>
              <w:spacing w:after="0" w:line="240" w:lineRule="auto"/>
              <w:jc w:val="center"/>
              <w:rPr>
                <w:rFonts w:cs="Arial"/>
                <w:b/>
              </w:rPr>
            </w:pPr>
            <w:r w:rsidRPr="00BD4883">
              <w:rPr>
                <w:rFonts w:cs="Arial"/>
                <w:b/>
              </w:rPr>
              <w:t>Weight</w:t>
            </w:r>
          </w:p>
        </w:tc>
      </w:tr>
      <w:tr w:rsidR="00901F06" w:rsidRPr="00BD4883" w14:paraId="2E45D557" w14:textId="77777777" w:rsidTr="00901F06">
        <w:trPr>
          <w:tblCellSpacing w:w="15" w:type="dxa"/>
        </w:trPr>
        <w:tc>
          <w:tcPr>
            <w:tcW w:w="0" w:type="auto"/>
            <w:vAlign w:val="center"/>
            <w:hideMark/>
          </w:tcPr>
          <w:p w14:paraId="1ED2C624" w14:textId="77777777" w:rsidR="00901F06" w:rsidRPr="00BD4883" w:rsidRDefault="00901F06" w:rsidP="009F122F">
            <w:pPr>
              <w:tabs>
                <w:tab w:val="left" w:pos="615"/>
              </w:tabs>
              <w:spacing w:after="0" w:line="240" w:lineRule="auto"/>
              <w:rPr>
                <w:rFonts w:cs="Arial"/>
              </w:rPr>
            </w:pPr>
            <w:r w:rsidRPr="00BD4883">
              <w:rPr>
                <w:rFonts w:cs="Arial"/>
              </w:rPr>
              <w:t>Quizzes</w:t>
            </w:r>
          </w:p>
        </w:tc>
        <w:tc>
          <w:tcPr>
            <w:tcW w:w="0" w:type="auto"/>
            <w:vAlign w:val="center"/>
            <w:hideMark/>
          </w:tcPr>
          <w:p w14:paraId="1708237B" w14:textId="77777777" w:rsidR="00901F06" w:rsidRPr="00BD4883" w:rsidRDefault="00085684" w:rsidP="009F122F">
            <w:pPr>
              <w:tabs>
                <w:tab w:val="left" w:pos="615"/>
              </w:tabs>
              <w:spacing w:after="0" w:line="240" w:lineRule="auto"/>
              <w:rPr>
                <w:rFonts w:cs="Arial"/>
              </w:rPr>
            </w:pPr>
            <w:r w:rsidRPr="00BD4883">
              <w:rPr>
                <w:rFonts w:cs="Arial"/>
              </w:rPr>
              <w:t>2</w:t>
            </w:r>
            <w:r w:rsidR="00901F06" w:rsidRPr="00BD4883">
              <w:rPr>
                <w:rFonts w:cs="Arial"/>
              </w:rPr>
              <w:t>5%</w:t>
            </w:r>
          </w:p>
        </w:tc>
      </w:tr>
      <w:tr w:rsidR="00901F06" w:rsidRPr="00BD4883" w14:paraId="0FC98710" w14:textId="77777777" w:rsidTr="00901F06">
        <w:trPr>
          <w:tblCellSpacing w:w="15" w:type="dxa"/>
        </w:trPr>
        <w:tc>
          <w:tcPr>
            <w:tcW w:w="0" w:type="auto"/>
            <w:vAlign w:val="center"/>
            <w:hideMark/>
          </w:tcPr>
          <w:p w14:paraId="48163229" w14:textId="77777777" w:rsidR="00901F06" w:rsidRPr="00BD4883" w:rsidRDefault="00901F06" w:rsidP="009F122F">
            <w:pPr>
              <w:tabs>
                <w:tab w:val="left" w:pos="615"/>
              </w:tabs>
              <w:spacing w:after="0" w:line="240" w:lineRule="auto"/>
              <w:rPr>
                <w:rFonts w:cs="Arial"/>
              </w:rPr>
            </w:pPr>
            <w:r w:rsidRPr="00BD4883">
              <w:rPr>
                <w:rFonts w:cs="Arial"/>
              </w:rPr>
              <w:t>Assignments</w:t>
            </w:r>
          </w:p>
        </w:tc>
        <w:tc>
          <w:tcPr>
            <w:tcW w:w="0" w:type="auto"/>
            <w:vAlign w:val="center"/>
            <w:hideMark/>
          </w:tcPr>
          <w:p w14:paraId="168F3AA5" w14:textId="77777777" w:rsidR="00901F06" w:rsidRPr="00BD4883" w:rsidRDefault="00085684" w:rsidP="009F122F">
            <w:pPr>
              <w:tabs>
                <w:tab w:val="left" w:pos="615"/>
              </w:tabs>
              <w:spacing w:after="0" w:line="240" w:lineRule="auto"/>
              <w:rPr>
                <w:rFonts w:cs="Arial"/>
              </w:rPr>
            </w:pPr>
            <w:r w:rsidRPr="00BD4883">
              <w:rPr>
                <w:rFonts w:cs="Arial"/>
              </w:rPr>
              <w:t>3</w:t>
            </w:r>
            <w:r w:rsidR="00901F06" w:rsidRPr="00BD4883">
              <w:rPr>
                <w:rFonts w:cs="Arial"/>
              </w:rPr>
              <w:t>0%</w:t>
            </w:r>
          </w:p>
        </w:tc>
      </w:tr>
      <w:tr w:rsidR="00901F06" w:rsidRPr="00BD4883" w14:paraId="6A41455F" w14:textId="77777777" w:rsidTr="00901F06">
        <w:trPr>
          <w:tblCellSpacing w:w="15" w:type="dxa"/>
        </w:trPr>
        <w:tc>
          <w:tcPr>
            <w:tcW w:w="0" w:type="auto"/>
            <w:vAlign w:val="center"/>
            <w:hideMark/>
          </w:tcPr>
          <w:p w14:paraId="414F305A" w14:textId="77777777" w:rsidR="00901F06" w:rsidRPr="00BD4883" w:rsidRDefault="00085684" w:rsidP="00085684">
            <w:pPr>
              <w:tabs>
                <w:tab w:val="left" w:pos="615"/>
              </w:tabs>
              <w:spacing w:after="0" w:line="240" w:lineRule="auto"/>
              <w:rPr>
                <w:rFonts w:cs="Arial"/>
              </w:rPr>
            </w:pPr>
            <w:r w:rsidRPr="00BD4883">
              <w:rPr>
                <w:rFonts w:cs="Arial"/>
              </w:rPr>
              <w:t>Participation</w:t>
            </w:r>
          </w:p>
        </w:tc>
        <w:tc>
          <w:tcPr>
            <w:tcW w:w="0" w:type="auto"/>
            <w:vAlign w:val="center"/>
            <w:hideMark/>
          </w:tcPr>
          <w:p w14:paraId="15FEC7BC" w14:textId="77777777" w:rsidR="00901F06" w:rsidRPr="00BD4883" w:rsidRDefault="00085684" w:rsidP="009F122F">
            <w:pPr>
              <w:tabs>
                <w:tab w:val="left" w:pos="615"/>
              </w:tabs>
              <w:spacing w:after="0" w:line="240" w:lineRule="auto"/>
              <w:rPr>
                <w:rFonts w:cs="Arial"/>
              </w:rPr>
            </w:pPr>
            <w:r w:rsidRPr="00BD4883">
              <w:rPr>
                <w:rFonts w:cs="Arial"/>
              </w:rPr>
              <w:t>1</w:t>
            </w:r>
            <w:r w:rsidR="00901F06" w:rsidRPr="00BD4883">
              <w:rPr>
                <w:rFonts w:cs="Arial"/>
              </w:rPr>
              <w:t>0%</w:t>
            </w:r>
          </w:p>
        </w:tc>
      </w:tr>
      <w:tr w:rsidR="00901F06" w:rsidRPr="00BD4883" w14:paraId="6EE2F972" w14:textId="77777777" w:rsidTr="00901F06">
        <w:trPr>
          <w:tblCellSpacing w:w="15" w:type="dxa"/>
        </w:trPr>
        <w:tc>
          <w:tcPr>
            <w:tcW w:w="0" w:type="auto"/>
            <w:vAlign w:val="center"/>
            <w:hideMark/>
          </w:tcPr>
          <w:p w14:paraId="650F31B0" w14:textId="77777777" w:rsidR="00901F06" w:rsidRPr="00BD4883" w:rsidRDefault="00901F06" w:rsidP="009F122F">
            <w:pPr>
              <w:tabs>
                <w:tab w:val="left" w:pos="615"/>
              </w:tabs>
              <w:spacing w:after="0" w:line="240" w:lineRule="auto"/>
              <w:rPr>
                <w:rFonts w:cs="Arial"/>
              </w:rPr>
            </w:pPr>
            <w:r w:rsidRPr="00BD4883">
              <w:rPr>
                <w:rFonts w:cs="Arial"/>
              </w:rPr>
              <w:t>Final Exam</w:t>
            </w:r>
          </w:p>
        </w:tc>
        <w:tc>
          <w:tcPr>
            <w:tcW w:w="0" w:type="auto"/>
            <w:vAlign w:val="center"/>
            <w:hideMark/>
          </w:tcPr>
          <w:p w14:paraId="12F22786" w14:textId="77777777" w:rsidR="00901F06" w:rsidRPr="00BD4883" w:rsidRDefault="00085684" w:rsidP="009F122F">
            <w:pPr>
              <w:tabs>
                <w:tab w:val="left" w:pos="615"/>
              </w:tabs>
              <w:spacing w:after="0" w:line="240" w:lineRule="auto"/>
              <w:rPr>
                <w:rFonts w:cs="Arial"/>
              </w:rPr>
            </w:pPr>
            <w:r w:rsidRPr="00BD4883">
              <w:rPr>
                <w:rFonts w:cs="Arial"/>
              </w:rPr>
              <w:t>35</w:t>
            </w:r>
            <w:r w:rsidR="00901F06" w:rsidRPr="00BD4883">
              <w:rPr>
                <w:rFonts w:cs="Arial"/>
              </w:rPr>
              <w:t>%</w:t>
            </w:r>
          </w:p>
        </w:tc>
      </w:tr>
    </w:tbl>
    <w:p w14:paraId="14888C58" w14:textId="77777777" w:rsidR="00901F06" w:rsidRPr="00BD4883" w:rsidRDefault="00901F06" w:rsidP="008D1CB4">
      <w:pPr>
        <w:pStyle w:val="NoSpacing"/>
        <w:rPr>
          <w:rFonts w:cs="Arial"/>
        </w:rPr>
      </w:pPr>
    </w:p>
    <w:p w14:paraId="33C2977B" w14:textId="77777777" w:rsidR="00F70CF3" w:rsidRPr="00BD4883" w:rsidRDefault="00F70CF3" w:rsidP="00F70CF3">
      <w:pPr>
        <w:spacing w:after="100" w:afterAutospacing="1" w:line="432" w:lineRule="atLeast"/>
        <w:rPr>
          <w:rFonts w:eastAsia="Times New Roman" w:cs="Arial"/>
          <w:b/>
          <w:bCs/>
          <w:color w:val="000000"/>
          <w:sz w:val="31"/>
          <w:szCs w:val="31"/>
        </w:rPr>
      </w:pPr>
      <w:r w:rsidRPr="00BD4883">
        <w:rPr>
          <w:rFonts w:eastAsia="Times New Roman" w:cs="Arial"/>
          <w:b/>
          <w:bCs/>
          <w:color w:val="000000"/>
          <w:sz w:val="31"/>
          <w:szCs w:val="31"/>
        </w:rPr>
        <w:t>Module 1 - Introduction to Biomedicine and the U.S. Healthcare System</w:t>
      </w:r>
    </w:p>
    <w:p w14:paraId="4B3A0DA5" w14:textId="77777777" w:rsidR="00F70CF3" w:rsidRPr="00BD4883" w:rsidRDefault="00F70CF3" w:rsidP="00F70CF3">
      <w:pPr>
        <w:numPr>
          <w:ilvl w:val="0"/>
          <w:numId w:val="23"/>
        </w:numPr>
        <w:spacing w:before="100" w:beforeAutospacing="1" w:after="100" w:afterAutospacing="1" w:line="432" w:lineRule="atLeast"/>
        <w:rPr>
          <w:rFonts w:eastAsia="Times New Roman" w:cs="Arial"/>
          <w:color w:val="000000"/>
        </w:rPr>
      </w:pPr>
      <w:r w:rsidRPr="00BD4883">
        <w:rPr>
          <w:rFonts w:eastAsia="Times New Roman" w:cs="Arial"/>
          <w:color w:val="000000"/>
        </w:rPr>
        <w:lastRenderedPageBreak/>
        <w:t>Lecture One: Introduction to Biomedical Science</w:t>
      </w:r>
    </w:p>
    <w:p w14:paraId="0D2A431E" w14:textId="77777777" w:rsidR="00F70CF3" w:rsidRPr="00BD4883" w:rsidRDefault="00F70CF3" w:rsidP="00F70CF3">
      <w:pPr>
        <w:numPr>
          <w:ilvl w:val="0"/>
          <w:numId w:val="23"/>
        </w:numPr>
        <w:spacing w:before="100" w:beforeAutospacing="1" w:after="100" w:afterAutospacing="1" w:line="432" w:lineRule="atLeast"/>
        <w:rPr>
          <w:rFonts w:eastAsia="Times New Roman" w:cs="Arial"/>
          <w:color w:val="000000"/>
        </w:rPr>
      </w:pPr>
      <w:r w:rsidRPr="00BD4883">
        <w:rPr>
          <w:rFonts w:eastAsia="Times New Roman" w:cs="Arial"/>
          <w:color w:val="000000"/>
        </w:rPr>
        <w:t>Lecture Two: Introduction to Laboratory Medicine</w:t>
      </w:r>
    </w:p>
    <w:p w14:paraId="295D9703" w14:textId="77777777" w:rsidR="00F70CF3" w:rsidRPr="00BD4883" w:rsidRDefault="00F70CF3" w:rsidP="00F70CF3">
      <w:pPr>
        <w:spacing w:after="100" w:afterAutospacing="1" w:line="432" w:lineRule="atLeast"/>
        <w:rPr>
          <w:rFonts w:eastAsia="Times New Roman" w:cs="Arial"/>
          <w:color w:val="000000"/>
        </w:rPr>
      </w:pPr>
      <w:r w:rsidRPr="00BD4883">
        <w:rPr>
          <w:rFonts w:eastAsia="Times New Roman" w:cs="Arial"/>
          <w:color w:val="000000"/>
          <w:u w:val="single"/>
        </w:rPr>
        <w:t>Learning Objectives:</w:t>
      </w:r>
    </w:p>
    <w:p w14:paraId="06772203" w14:textId="77777777" w:rsidR="00F70CF3" w:rsidRPr="00BD4883" w:rsidRDefault="00F70CF3" w:rsidP="00F70CF3">
      <w:pPr>
        <w:pStyle w:val="ListParagraph"/>
        <w:numPr>
          <w:ilvl w:val="0"/>
          <w:numId w:val="33"/>
        </w:numPr>
        <w:spacing w:after="100" w:afterAutospacing="1" w:line="432" w:lineRule="atLeast"/>
        <w:rPr>
          <w:rFonts w:ascii="Arial" w:eastAsia="Times New Roman" w:hAnsi="Arial" w:cs="Arial"/>
          <w:color w:val="000000"/>
          <w:sz w:val="24"/>
          <w:szCs w:val="24"/>
        </w:rPr>
      </w:pPr>
      <w:r w:rsidRPr="00BD4883">
        <w:rPr>
          <w:rFonts w:ascii="Arial" w:eastAsia="Times New Roman" w:hAnsi="Arial" w:cs="Arial"/>
          <w:color w:val="000000"/>
          <w:sz w:val="24"/>
          <w:szCs w:val="24"/>
        </w:rPr>
        <w:t>The human body is made of systems and systems are made of organs that are interdependent. This interdependency is very finely balanced and requires constant data sampling of its environment and numerous feedback mechanisms.</w:t>
      </w:r>
    </w:p>
    <w:p w14:paraId="2360915A" w14:textId="77777777" w:rsidR="00F70CF3" w:rsidRPr="00BD4883" w:rsidRDefault="00F70CF3" w:rsidP="00F70CF3">
      <w:pPr>
        <w:pStyle w:val="ListParagraph"/>
        <w:numPr>
          <w:ilvl w:val="0"/>
          <w:numId w:val="33"/>
        </w:numPr>
        <w:spacing w:after="100" w:afterAutospacing="1" w:line="432" w:lineRule="atLeast"/>
        <w:rPr>
          <w:rFonts w:ascii="Arial" w:eastAsia="Times New Roman" w:hAnsi="Arial" w:cs="Arial"/>
          <w:color w:val="000000"/>
          <w:sz w:val="24"/>
          <w:szCs w:val="24"/>
        </w:rPr>
      </w:pPr>
      <w:r w:rsidRPr="00BD4883">
        <w:rPr>
          <w:rFonts w:ascii="Arial" w:eastAsia="Times New Roman" w:hAnsi="Arial" w:cs="Arial"/>
          <w:color w:val="000000"/>
          <w:sz w:val="24"/>
          <w:szCs w:val="24"/>
        </w:rPr>
        <w:t>How things go wrong— genotype and phenotype polymorphism, stem cells and differentiation, developmental problems, the effects of aging, infectious disease, and cancer.</w:t>
      </w:r>
    </w:p>
    <w:p w14:paraId="4AB4EF61" w14:textId="77777777" w:rsidR="00F70CF3" w:rsidRPr="00BD4883" w:rsidRDefault="00F70CF3" w:rsidP="00F70CF3">
      <w:pPr>
        <w:pStyle w:val="ListParagraph"/>
        <w:numPr>
          <w:ilvl w:val="0"/>
          <w:numId w:val="33"/>
        </w:numPr>
        <w:spacing w:after="100" w:afterAutospacing="1" w:line="432" w:lineRule="atLeast"/>
        <w:rPr>
          <w:rFonts w:ascii="Arial" w:eastAsia="Times New Roman" w:hAnsi="Arial" w:cs="Arial"/>
          <w:color w:val="000000"/>
          <w:sz w:val="24"/>
          <w:szCs w:val="24"/>
        </w:rPr>
      </w:pPr>
      <w:r w:rsidRPr="00BD4883">
        <w:rPr>
          <w:rFonts w:ascii="Arial" w:eastAsia="Times New Roman" w:hAnsi="Arial" w:cs="Arial"/>
          <w:color w:val="000000"/>
          <w:sz w:val="24"/>
          <w:szCs w:val="24"/>
        </w:rPr>
        <w:t>The basis of measuring what is wrong when things go wrong—laboratory medicine, data generation and imaging enabling arrival at a diagnosis.</w:t>
      </w:r>
    </w:p>
    <w:p w14:paraId="1A50333C" w14:textId="77777777" w:rsidR="00F70CF3" w:rsidRPr="00BD4883" w:rsidRDefault="00F70CF3" w:rsidP="00F70CF3">
      <w:pPr>
        <w:pStyle w:val="ListParagraph"/>
        <w:numPr>
          <w:ilvl w:val="0"/>
          <w:numId w:val="33"/>
        </w:numPr>
        <w:spacing w:after="100" w:afterAutospacing="1" w:line="432" w:lineRule="atLeast"/>
        <w:rPr>
          <w:rFonts w:ascii="Arial" w:eastAsia="Times New Roman" w:hAnsi="Arial" w:cs="Arial"/>
          <w:color w:val="000000"/>
          <w:sz w:val="24"/>
          <w:szCs w:val="24"/>
        </w:rPr>
      </w:pPr>
      <w:r w:rsidRPr="00BD4883">
        <w:rPr>
          <w:rFonts w:ascii="Arial" w:eastAsia="Times New Roman" w:hAnsi="Arial" w:cs="Arial"/>
          <w:color w:val="000000"/>
          <w:sz w:val="24"/>
          <w:szCs w:val="24"/>
        </w:rPr>
        <w:t>The basics of health informatics</w:t>
      </w:r>
    </w:p>
    <w:p w14:paraId="11CA33DB" w14:textId="77777777" w:rsidR="00F70CF3" w:rsidRPr="00BD4883" w:rsidRDefault="00F70CF3" w:rsidP="00F70CF3">
      <w:pPr>
        <w:pStyle w:val="ListParagraph"/>
        <w:numPr>
          <w:ilvl w:val="0"/>
          <w:numId w:val="33"/>
        </w:numPr>
        <w:spacing w:after="100" w:afterAutospacing="1" w:line="432" w:lineRule="atLeast"/>
        <w:rPr>
          <w:rFonts w:ascii="Arial" w:eastAsia="Times New Roman" w:hAnsi="Arial" w:cs="Arial"/>
          <w:color w:val="000000"/>
          <w:sz w:val="24"/>
          <w:szCs w:val="24"/>
        </w:rPr>
      </w:pPr>
      <w:r w:rsidRPr="00BD4883">
        <w:rPr>
          <w:rFonts w:ascii="Arial" w:eastAsia="Times New Roman" w:hAnsi="Arial" w:cs="Arial"/>
          <w:color w:val="000000"/>
          <w:sz w:val="24"/>
          <w:szCs w:val="24"/>
        </w:rPr>
        <w:t>The basics of healthcare system and the structure of the U.S. healthcare system</w:t>
      </w:r>
    </w:p>
    <w:p w14:paraId="15340EBC" w14:textId="77777777" w:rsidR="00F70CF3" w:rsidRPr="00BD4883" w:rsidRDefault="00F70CF3" w:rsidP="00F70CF3">
      <w:pPr>
        <w:pStyle w:val="ListParagraph"/>
        <w:numPr>
          <w:ilvl w:val="0"/>
          <w:numId w:val="33"/>
        </w:numPr>
        <w:pBdr>
          <w:bottom w:val="single" w:sz="12" w:space="0" w:color="CC0000"/>
        </w:pBdr>
        <w:spacing w:before="100" w:beforeAutospacing="1" w:after="408" w:line="432" w:lineRule="atLeast"/>
        <w:outlineLvl w:val="1"/>
        <w:rPr>
          <w:rFonts w:ascii="Arial" w:eastAsia="Times New Roman" w:hAnsi="Arial" w:cs="Arial"/>
          <w:color w:val="000000"/>
          <w:sz w:val="24"/>
          <w:szCs w:val="24"/>
        </w:rPr>
      </w:pPr>
      <w:r w:rsidRPr="00BD4883">
        <w:rPr>
          <w:rFonts w:ascii="Arial" w:eastAsia="Times New Roman" w:hAnsi="Arial" w:cs="Arial"/>
          <w:color w:val="000000"/>
          <w:sz w:val="24"/>
          <w:szCs w:val="24"/>
        </w:rPr>
        <w:t>The problems of and future challenges to the U.S. healthcare system</w:t>
      </w:r>
    </w:p>
    <w:p w14:paraId="0926024A" w14:textId="77777777" w:rsidR="00F70CF3" w:rsidRPr="00BD4883" w:rsidRDefault="00F70CF3" w:rsidP="00F70CF3">
      <w:pPr>
        <w:pBdr>
          <w:bottom w:val="single" w:sz="12" w:space="0" w:color="CC0000"/>
        </w:pBdr>
        <w:spacing w:before="100" w:beforeAutospacing="1" w:after="408" w:line="432" w:lineRule="atLeast"/>
        <w:outlineLvl w:val="1"/>
        <w:rPr>
          <w:rFonts w:eastAsia="Times New Roman" w:cs="Arial"/>
          <w:b/>
          <w:bCs/>
          <w:color w:val="000000"/>
          <w:sz w:val="31"/>
          <w:szCs w:val="31"/>
        </w:rPr>
      </w:pPr>
      <w:r w:rsidRPr="00BD4883">
        <w:rPr>
          <w:rFonts w:eastAsia="Times New Roman" w:cs="Arial"/>
          <w:b/>
          <w:bCs/>
          <w:color w:val="000000"/>
          <w:sz w:val="31"/>
          <w:szCs w:val="31"/>
        </w:rPr>
        <w:t>Module 2 - How we are structured: the Muscular, Skeletal, Skin, and Digestive Systems</w:t>
      </w:r>
    </w:p>
    <w:p w14:paraId="12328902" w14:textId="77777777" w:rsidR="00F70CF3" w:rsidRPr="00BD4883" w:rsidRDefault="00F70CF3" w:rsidP="00F70CF3">
      <w:pPr>
        <w:numPr>
          <w:ilvl w:val="0"/>
          <w:numId w:val="24"/>
        </w:numPr>
        <w:spacing w:before="100" w:beforeAutospacing="1" w:after="100" w:afterAutospacing="1" w:line="432" w:lineRule="atLeast"/>
        <w:rPr>
          <w:rFonts w:eastAsia="Times New Roman" w:cs="Arial"/>
          <w:color w:val="000000"/>
        </w:rPr>
      </w:pPr>
      <w:r w:rsidRPr="00BD4883">
        <w:rPr>
          <w:rFonts w:eastAsia="Times New Roman" w:cs="Arial"/>
          <w:color w:val="000000"/>
        </w:rPr>
        <w:t>Lecture Three: Muscular, Skeletal, and Integumentary Systems</w:t>
      </w:r>
    </w:p>
    <w:p w14:paraId="37BEC714" w14:textId="77777777" w:rsidR="00F70CF3" w:rsidRPr="00BD4883" w:rsidRDefault="00F70CF3" w:rsidP="00F70CF3">
      <w:pPr>
        <w:numPr>
          <w:ilvl w:val="0"/>
          <w:numId w:val="24"/>
        </w:numPr>
        <w:spacing w:before="100" w:beforeAutospacing="1" w:after="100" w:afterAutospacing="1" w:line="432" w:lineRule="atLeast"/>
        <w:rPr>
          <w:rFonts w:eastAsia="Times New Roman" w:cs="Arial"/>
          <w:color w:val="000000"/>
        </w:rPr>
      </w:pPr>
      <w:r w:rsidRPr="00BD4883">
        <w:rPr>
          <w:rFonts w:eastAsia="Times New Roman" w:cs="Arial"/>
          <w:color w:val="000000"/>
        </w:rPr>
        <w:t>Lecture Four: The Digestive System</w:t>
      </w:r>
    </w:p>
    <w:p w14:paraId="2CE80A55" w14:textId="77777777" w:rsidR="00F70CF3" w:rsidRPr="00BD4883" w:rsidRDefault="00F70CF3" w:rsidP="00F70CF3">
      <w:pPr>
        <w:spacing w:after="100" w:afterAutospacing="1" w:line="432" w:lineRule="atLeast"/>
        <w:rPr>
          <w:rFonts w:eastAsia="Times New Roman" w:cs="Arial"/>
          <w:color w:val="000000"/>
        </w:rPr>
      </w:pPr>
      <w:r w:rsidRPr="00BD4883">
        <w:rPr>
          <w:rFonts w:eastAsia="Times New Roman" w:cs="Arial"/>
          <w:color w:val="000000"/>
          <w:u w:val="single"/>
        </w:rPr>
        <w:t>Learning Objectives:</w:t>
      </w:r>
    </w:p>
    <w:p w14:paraId="5CE11DF8" w14:textId="77777777" w:rsidR="00F70CF3" w:rsidRPr="00BD4883" w:rsidRDefault="00F70CF3" w:rsidP="00F70CF3">
      <w:pPr>
        <w:numPr>
          <w:ilvl w:val="0"/>
          <w:numId w:val="25"/>
        </w:numPr>
        <w:spacing w:before="100" w:beforeAutospacing="1" w:after="100" w:afterAutospacing="1" w:line="432" w:lineRule="atLeast"/>
        <w:rPr>
          <w:rFonts w:eastAsia="Times New Roman" w:cs="Arial"/>
          <w:color w:val="000000"/>
        </w:rPr>
      </w:pPr>
      <w:r w:rsidRPr="00BD4883">
        <w:rPr>
          <w:rFonts w:eastAsia="Times New Roman" w:cs="Arial"/>
          <w:color w:val="000000"/>
        </w:rPr>
        <w:t>General understanding of the structural organization of the human body and the functionality of the digestive system.</w:t>
      </w:r>
    </w:p>
    <w:p w14:paraId="43478AAF" w14:textId="77777777" w:rsidR="00F70CF3" w:rsidRPr="00BD4883" w:rsidRDefault="00F70CF3" w:rsidP="00F70CF3">
      <w:pPr>
        <w:numPr>
          <w:ilvl w:val="0"/>
          <w:numId w:val="25"/>
        </w:numPr>
        <w:spacing w:before="100" w:beforeAutospacing="1" w:after="100" w:afterAutospacing="1" w:line="432" w:lineRule="atLeast"/>
        <w:rPr>
          <w:rFonts w:eastAsia="Times New Roman" w:cs="Arial"/>
          <w:color w:val="000000"/>
        </w:rPr>
      </w:pPr>
      <w:r w:rsidRPr="00BD4883">
        <w:rPr>
          <w:rFonts w:eastAsia="Times New Roman" w:cs="Arial"/>
          <w:color w:val="000000"/>
        </w:rPr>
        <w:t>Exploration of diagnostic methods and imaging procedures to identify disorders.</w:t>
      </w:r>
    </w:p>
    <w:p w14:paraId="2AA04261" w14:textId="77777777" w:rsidR="00F70CF3" w:rsidRPr="00BD4883" w:rsidRDefault="00F70CF3" w:rsidP="00F70CF3">
      <w:pPr>
        <w:numPr>
          <w:ilvl w:val="0"/>
          <w:numId w:val="25"/>
        </w:numPr>
        <w:spacing w:before="100" w:beforeAutospacing="1" w:after="100" w:afterAutospacing="1" w:line="432" w:lineRule="atLeast"/>
        <w:rPr>
          <w:rFonts w:eastAsia="Times New Roman" w:cs="Arial"/>
          <w:color w:val="000000"/>
        </w:rPr>
      </w:pPr>
      <w:r w:rsidRPr="00BD4883">
        <w:rPr>
          <w:rFonts w:eastAsia="Times New Roman" w:cs="Arial"/>
          <w:color w:val="000000"/>
        </w:rPr>
        <w:t>The role of IT in data and image analysis, transfer and presentation.</w:t>
      </w:r>
    </w:p>
    <w:p w14:paraId="611F3ECE" w14:textId="77777777" w:rsidR="00F70CF3" w:rsidRPr="00BD4883" w:rsidRDefault="00F70CF3" w:rsidP="00F70CF3">
      <w:pPr>
        <w:numPr>
          <w:ilvl w:val="0"/>
          <w:numId w:val="25"/>
        </w:numPr>
        <w:spacing w:before="100" w:beforeAutospacing="1" w:after="100" w:afterAutospacing="1" w:line="432" w:lineRule="atLeast"/>
        <w:rPr>
          <w:rFonts w:eastAsia="Times New Roman" w:cs="Arial"/>
          <w:color w:val="000000"/>
        </w:rPr>
      </w:pPr>
      <w:r w:rsidRPr="00BD4883">
        <w:rPr>
          <w:rFonts w:eastAsia="Times New Roman" w:cs="Arial"/>
          <w:color w:val="000000"/>
        </w:rPr>
        <w:lastRenderedPageBreak/>
        <w:t>The Health Insurance Portability and Accountability Act of 1996 (HIPAA)</w:t>
      </w:r>
    </w:p>
    <w:p w14:paraId="06B94E30" w14:textId="77777777" w:rsidR="00F70CF3" w:rsidRPr="00BD4883" w:rsidRDefault="00F70CF3" w:rsidP="00F70CF3">
      <w:pPr>
        <w:pBdr>
          <w:bottom w:val="single" w:sz="12" w:space="0" w:color="CC0000"/>
        </w:pBdr>
        <w:spacing w:before="100" w:beforeAutospacing="1" w:after="408" w:line="432" w:lineRule="atLeast"/>
        <w:outlineLvl w:val="1"/>
        <w:rPr>
          <w:rFonts w:eastAsia="Times New Roman" w:cs="Arial"/>
          <w:b/>
          <w:bCs/>
          <w:color w:val="000000"/>
          <w:sz w:val="31"/>
          <w:szCs w:val="31"/>
        </w:rPr>
      </w:pPr>
      <w:r w:rsidRPr="00BD4883">
        <w:rPr>
          <w:rFonts w:eastAsia="Times New Roman" w:cs="Arial"/>
          <w:b/>
          <w:bCs/>
          <w:color w:val="000000"/>
          <w:sz w:val="31"/>
          <w:szCs w:val="31"/>
        </w:rPr>
        <w:t>Module 3 - Energy, Energy Distribution and Product Disposal: the Cardiovascular and Respiratory Systems</w:t>
      </w:r>
    </w:p>
    <w:p w14:paraId="0DF949C1" w14:textId="77777777" w:rsidR="00F70CF3" w:rsidRPr="00BD4883" w:rsidRDefault="00F70CF3" w:rsidP="00F70CF3">
      <w:pPr>
        <w:numPr>
          <w:ilvl w:val="0"/>
          <w:numId w:val="26"/>
        </w:numPr>
        <w:spacing w:before="100" w:beforeAutospacing="1" w:after="100" w:afterAutospacing="1" w:line="432" w:lineRule="atLeast"/>
        <w:rPr>
          <w:rFonts w:eastAsia="Times New Roman" w:cs="Arial"/>
          <w:color w:val="000000"/>
        </w:rPr>
      </w:pPr>
      <w:r w:rsidRPr="00BD4883">
        <w:rPr>
          <w:rFonts w:eastAsia="Times New Roman" w:cs="Arial"/>
          <w:color w:val="000000"/>
        </w:rPr>
        <w:t>Lecture Five: The Cardiovascular System</w:t>
      </w:r>
    </w:p>
    <w:p w14:paraId="2F8F1B13" w14:textId="77777777" w:rsidR="00F70CF3" w:rsidRPr="00BD4883" w:rsidRDefault="00F70CF3" w:rsidP="00F70CF3">
      <w:pPr>
        <w:numPr>
          <w:ilvl w:val="0"/>
          <w:numId w:val="26"/>
        </w:numPr>
        <w:spacing w:before="100" w:beforeAutospacing="1" w:after="100" w:afterAutospacing="1" w:line="432" w:lineRule="atLeast"/>
        <w:rPr>
          <w:rFonts w:eastAsia="Times New Roman" w:cs="Arial"/>
          <w:color w:val="000000"/>
        </w:rPr>
      </w:pPr>
      <w:r w:rsidRPr="00BD4883">
        <w:rPr>
          <w:rFonts w:eastAsia="Times New Roman" w:cs="Arial"/>
          <w:color w:val="000000"/>
        </w:rPr>
        <w:t>Lecture Six: The Pulmonary System</w:t>
      </w:r>
    </w:p>
    <w:p w14:paraId="200E76F4" w14:textId="77777777" w:rsidR="00F70CF3" w:rsidRPr="00BD4883" w:rsidRDefault="00F70CF3" w:rsidP="00F70CF3">
      <w:pPr>
        <w:spacing w:after="100" w:afterAutospacing="1" w:line="432" w:lineRule="atLeast"/>
        <w:rPr>
          <w:rFonts w:eastAsia="Times New Roman" w:cs="Arial"/>
          <w:color w:val="000000"/>
        </w:rPr>
      </w:pPr>
      <w:r w:rsidRPr="00BD4883">
        <w:rPr>
          <w:rFonts w:eastAsia="Times New Roman" w:cs="Arial"/>
          <w:color w:val="000000"/>
          <w:u w:val="single"/>
        </w:rPr>
        <w:t>Learning Objectives:</w:t>
      </w:r>
    </w:p>
    <w:p w14:paraId="65F63A51" w14:textId="77777777" w:rsidR="00F70CF3" w:rsidRPr="00BD4883" w:rsidRDefault="00F70CF3" w:rsidP="00F70CF3">
      <w:pPr>
        <w:pStyle w:val="ListParagraph"/>
        <w:numPr>
          <w:ilvl w:val="0"/>
          <w:numId w:val="34"/>
        </w:numPr>
        <w:spacing w:after="100" w:afterAutospacing="1" w:line="432" w:lineRule="atLeast"/>
        <w:rPr>
          <w:rFonts w:ascii="Arial" w:eastAsia="Times New Roman" w:hAnsi="Arial" w:cs="Arial"/>
          <w:color w:val="000000"/>
          <w:sz w:val="24"/>
          <w:szCs w:val="24"/>
        </w:rPr>
      </w:pPr>
      <w:r w:rsidRPr="00BD4883">
        <w:rPr>
          <w:rFonts w:ascii="Arial" w:eastAsia="Times New Roman" w:hAnsi="Arial" w:cs="Arial"/>
          <w:color w:val="000000"/>
          <w:sz w:val="24"/>
          <w:szCs w:val="24"/>
        </w:rPr>
        <w:t>Basic understanding of the structure, function and interdependency of the heart and the lung functions.</w:t>
      </w:r>
    </w:p>
    <w:p w14:paraId="322820CD" w14:textId="77777777" w:rsidR="00F70CF3" w:rsidRPr="00BD4883" w:rsidRDefault="00F70CF3" w:rsidP="00F70CF3">
      <w:pPr>
        <w:pStyle w:val="ListParagraph"/>
        <w:numPr>
          <w:ilvl w:val="0"/>
          <w:numId w:val="34"/>
        </w:numPr>
        <w:spacing w:after="100" w:afterAutospacing="1" w:line="432" w:lineRule="atLeast"/>
        <w:rPr>
          <w:rFonts w:ascii="Arial" w:eastAsia="Times New Roman" w:hAnsi="Arial" w:cs="Arial"/>
          <w:color w:val="000000"/>
          <w:sz w:val="24"/>
          <w:szCs w:val="24"/>
        </w:rPr>
      </w:pPr>
      <w:r w:rsidRPr="00BD4883">
        <w:rPr>
          <w:rFonts w:ascii="Arial" w:eastAsia="Times New Roman" w:hAnsi="Arial" w:cs="Arial"/>
          <w:color w:val="000000"/>
          <w:sz w:val="24"/>
          <w:szCs w:val="24"/>
        </w:rPr>
        <w:t>Basic comprehension of the multiple cardiovascular and respiratory regulatory checkpoints and how aberrations in a single functionality can cascade to generate a complex pathology.</w:t>
      </w:r>
    </w:p>
    <w:p w14:paraId="487F171D" w14:textId="77777777" w:rsidR="00F70CF3" w:rsidRPr="00BD4883" w:rsidRDefault="00F70CF3" w:rsidP="00F70CF3">
      <w:pPr>
        <w:pStyle w:val="ListParagraph"/>
        <w:numPr>
          <w:ilvl w:val="0"/>
          <w:numId w:val="34"/>
        </w:numPr>
        <w:spacing w:after="100" w:afterAutospacing="1" w:line="432" w:lineRule="atLeast"/>
        <w:rPr>
          <w:rFonts w:ascii="Arial" w:eastAsia="Times New Roman" w:hAnsi="Arial" w:cs="Arial"/>
          <w:color w:val="000000"/>
          <w:sz w:val="24"/>
          <w:szCs w:val="24"/>
        </w:rPr>
      </w:pPr>
      <w:r w:rsidRPr="00BD4883">
        <w:rPr>
          <w:rFonts w:ascii="Arial" w:eastAsia="Times New Roman" w:hAnsi="Arial" w:cs="Arial"/>
          <w:color w:val="000000"/>
          <w:sz w:val="24"/>
          <w:szCs w:val="24"/>
        </w:rPr>
        <w:t>Appreciation of imaging techniques and therapeutic options available for diagnosing and treatment of cardiovascular and respiratory problems.</w:t>
      </w:r>
    </w:p>
    <w:p w14:paraId="4EA687AE" w14:textId="77777777" w:rsidR="00F70CF3" w:rsidRPr="00BD4883" w:rsidRDefault="00F70CF3" w:rsidP="00F70CF3">
      <w:pPr>
        <w:pStyle w:val="ListParagraph"/>
        <w:numPr>
          <w:ilvl w:val="0"/>
          <w:numId w:val="34"/>
        </w:numPr>
        <w:spacing w:after="100" w:afterAutospacing="1" w:line="432" w:lineRule="atLeast"/>
        <w:rPr>
          <w:rFonts w:ascii="Arial" w:eastAsia="Times New Roman" w:hAnsi="Arial" w:cs="Arial"/>
          <w:color w:val="000000"/>
          <w:sz w:val="24"/>
          <w:szCs w:val="24"/>
        </w:rPr>
      </w:pPr>
      <w:r w:rsidRPr="00BD4883">
        <w:rPr>
          <w:rFonts w:ascii="Arial" w:eastAsia="Times New Roman" w:hAnsi="Arial" w:cs="Arial"/>
          <w:color w:val="000000"/>
          <w:sz w:val="24"/>
          <w:szCs w:val="24"/>
        </w:rPr>
        <w:t>The role and limitation of paper records</w:t>
      </w:r>
    </w:p>
    <w:p w14:paraId="65AFF760" w14:textId="77777777" w:rsidR="00F70CF3" w:rsidRPr="00BD4883" w:rsidRDefault="00F70CF3" w:rsidP="00F70CF3">
      <w:pPr>
        <w:pStyle w:val="ListParagraph"/>
        <w:numPr>
          <w:ilvl w:val="0"/>
          <w:numId w:val="34"/>
        </w:numPr>
        <w:spacing w:after="100" w:afterAutospacing="1" w:line="432" w:lineRule="atLeast"/>
        <w:rPr>
          <w:rFonts w:ascii="Arial" w:eastAsia="Times New Roman" w:hAnsi="Arial" w:cs="Arial"/>
          <w:color w:val="000000"/>
          <w:sz w:val="24"/>
          <w:szCs w:val="24"/>
        </w:rPr>
      </w:pPr>
      <w:r w:rsidRPr="00BD4883">
        <w:rPr>
          <w:rFonts w:ascii="Arial" w:eastAsia="Times New Roman" w:hAnsi="Arial" w:cs="Arial"/>
          <w:color w:val="000000"/>
          <w:sz w:val="24"/>
          <w:szCs w:val="24"/>
        </w:rPr>
        <w:t>Some considerations when implementing an IT system to replace paper forms</w:t>
      </w:r>
    </w:p>
    <w:p w14:paraId="2AB1FD8F" w14:textId="77777777" w:rsidR="00F70CF3" w:rsidRPr="00BD4883" w:rsidRDefault="00F70CF3" w:rsidP="00F70CF3">
      <w:pPr>
        <w:pStyle w:val="ListParagraph"/>
        <w:numPr>
          <w:ilvl w:val="0"/>
          <w:numId w:val="34"/>
        </w:numPr>
        <w:spacing w:after="100" w:afterAutospacing="1" w:line="432" w:lineRule="atLeast"/>
        <w:rPr>
          <w:rFonts w:ascii="Arial" w:eastAsia="Times New Roman" w:hAnsi="Arial" w:cs="Arial"/>
          <w:color w:val="000000"/>
          <w:sz w:val="24"/>
          <w:szCs w:val="24"/>
        </w:rPr>
      </w:pPr>
      <w:r w:rsidRPr="00BD4883">
        <w:rPr>
          <w:rFonts w:ascii="Arial" w:eastAsia="Times New Roman" w:hAnsi="Arial" w:cs="Arial"/>
          <w:color w:val="000000"/>
          <w:sz w:val="24"/>
          <w:szCs w:val="24"/>
        </w:rPr>
        <w:t>Basics of Health Information Systems</w:t>
      </w:r>
    </w:p>
    <w:p w14:paraId="09592F12" w14:textId="77777777" w:rsidR="00F70CF3" w:rsidRPr="00BD4883" w:rsidRDefault="00F70CF3" w:rsidP="00F70CF3">
      <w:pPr>
        <w:pBdr>
          <w:bottom w:val="single" w:sz="12" w:space="0" w:color="CC0000"/>
        </w:pBdr>
        <w:spacing w:before="100" w:beforeAutospacing="1" w:after="408" w:line="432" w:lineRule="atLeast"/>
        <w:outlineLvl w:val="1"/>
        <w:rPr>
          <w:rFonts w:eastAsia="Times New Roman" w:cs="Arial"/>
          <w:b/>
          <w:bCs/>
          <w:color w:val="000000"/>
          <w:sz w:val="31"/>
          <w:szCs w:val="31"/>
        </w:rPr>
      </w:pPr>
      <w:r w:rsidRPr="00BD4883">
        <w:rPr>
          <w:rFonts w:eastAsia="Times New Roman" w:cs="Arial"/>
          <w:b/>
          <w:bCs/>
          <w:color w:val="000000"/>
          <w:sz w:val="31"/>
          <w:szCs w:val="31"/>
        </w:rPr>
        <w:t>Module 4 - The Nervous System and Immunity</w:t>
      </w:r>
    </w:p>
    <w:p w14:paraId="3D6F6A08" w14:textId="77777777" w:rsidR="00F70CF3" w:rsidRPr="00BD4883" w:rsidRDefault="00F70CF3" w:rsidP="00F70CF3">
      <w:pPr>
        <w:numPr>
          <w:ilvl w:val="0"/>
          <w:numId w:val="27"/>
        </w:numPr>
        <w:spacing w:before="100" w:beforeAutospacing="1" w:after="100" w:afterAutospacing="1" w:line="432" w:lineRule="atLeast"/>
        <w:rPr>
          <w:rFonts w:eastAsia="Times New Roman" w:cs="Arial"/>
          <w:color w:val="000000"/>
        </w:rPr>
      </w:pPr>
      <w:r w:rsidRPr="00BD4883">
        <w:rPr>
          <w:rFonts w:eastAsia="Times New Roman" w:cs="Arial"/>
          <w:color w:val="000000"/>
        </w:rPr>
        <w:t>Lecture Seven: The Nervous System</w:t>
      </w:r>
    </w:p>
    <w:p w14:paraId="764379FD" w14:textId="77777777" w:rsidR="00F70CF3" w:rsidRPr="00BD4883" w:rsidRDefault="00F70CF3" w:rsidP="00F70CF3">
      <w:pPr>
        <w:numPr>
          <w:ilvl w:val="0"/>
          <w:numId w:val="27"/>
        </w:numPr>
        <w:spacing w:before="100" w:beforeAutospacing="1" w:after="100" w:afterAutospacing="1" w:line="432" w:lineRule="atLeast"/>
        <w:rPr>
          <w:rFonts w:eastAsia="Times New Roman" w:cs="Arial"/>
          <w:color w:val="000000"/>
        </w:rPr>
      </w:pPr>
      <w:r w:rsidRPr="00BD4883">
        <w:rPr>
          <w:rFonts w:eastAsia="Times New Roman" w:cs="Arial"/>
          <w:color w:val="000000"/>
        </w:rPr>
        <w:t>Lecture Eight: The Immune System</w:t>
      </w:r>
    </w:p>
    <w:p w14:paraId="15ABCAE2" w14:textId="77777777" w:rsidR="00F70CF3" w:rsidRPr="00BD4883" w:rsidRDefault="00F70CF3" w:rsidP="00F70CF3">
      <w:pPr>
        <w:spacing w:after="100" w:afterAutospacing="1" w:line="432" w:lineRule="atLeast"/>
        <w:rPr>
          <w:rFonts w:eastAsia="Times New Roman" w:cs="Arial"/>
          <w:color w:val="000000"/>
        </w:rPr>
      </w:pPr>
      <w:r w:rsidRPr="00BD4883">
        <w:rPr>
          <w:rFonts w:eastAsia="Times New Roman" w:cs="Arial"/>
          <w:color w:val="000000"/>
          <w:u w:val="single"/>
        </w:rPr>
        <w:t>Learning Objectives:</w:t>
      </w:r>
    </w:p>
    <w:p w14:paraId="7A931032" w14:textId="77777777" w:rsidR="00F70CF3" w:rsidRPr="00BD4883" w:rsidRDefault="00F70CF3" w:rsidP="00F70CF3">
      <w:pPr>
        <w:numPr>
          <w:ilvl w:val="0"/>
          <w:numId w:val="28"/>
        </w:numPr>
        <w:spacing w:before="100" w:beforeAutospacing="1" w:after="100" w:afterAutospacing="1" w:line="432" w:lineRule="atLeast"/>
        <w:rPr>
          <w:rFonts w:eastAsia="Times New Roman" w:cs="Arial"/>
          <w:color w:val="000000"/>
        </w:rPr>
      </w:pPr>
      <w:r w:rsidRPr="00BD4883">
        <w:rPr>
          <w:rFonts w:eastAsia="Times New Roman" w:cs="Arial"/>
          <w:color w:val="000000"/>
        </w:rPr>
        <w:t>Recognition and understanding of the basic structure and functionality of the nervous system.</w:t>
      </w:r>
    </w:p>
    <w:p w14:paraId="76E15508" w14:textId="77777777" w:rsidR="00F70CF3" w:rsidRPr="00BD4883" w:rsidRDefault="00F70CF3" w:rsidP="00F70CF3">
      <w:pPr>
        <w:numPr>
          <w:ilvl w:val="0"/>
          <w:numId w:val="28"/>
        </w:numPr>
        <w:spacing w:before="100" w:beforeAutospacing="1" w:after="100" w:afterAutospacing="1" w:line="432" w:lineRule="atLeast"/>
        <w:rPr>
          <w:rFonts w:eastAsia="Times New Roman" w:cs="Arial"/>
          <w:color w:val="000000"/>
        </w:rPr>
      </w:pPr>
      <w:r w:rsidRPr="00BD4883">
        <w:rPr>
          <w:rFonts w:eastAsia="Times New Roman" w:cs="Arial"/>
          <w:color w:val="000000"/>
        </w:rPr>
        <w:lastRenderedPageBreak/>
        <w:t>An understanding of the pathophysiology of the nervous system together with common diagnostic methods and treatments</w:t>
      </w:r>
    </w:p>
    <w:p w14:paraId="3D881250" w14:textId="77777777" w:rsidR="00F70CF3" w:rsidRPr="00BD4883" w:rsidRDefault="00F70CF3" w:rsidP="00F70CF3">
      <w:pPr>
        <w:numPr>
          <w:ilvl w:val="0"/>
          <w:numId w:val="28"/>
        </w:numPr>
        <w:spacing w:before="100" w:beforeAutospacing="1" w:after="100" w:afterAutospacing="1" w:line="432" w:lineRule="atLeast"/>
        <w:rPr>
          <w:rFonts w:eastAsia="Times New Roman" w:cs="Arial"/>
          <w:color w:val="000000"/>
        </w:rPr>
      </w:pPr>
      <w:r w:rsidRPr="00BD4883">
        <w:rPr>
          <w:rFonts w:eastAsia="Times New Roman" w:cs="Arial"/>
          <w:color w:val="000000"/>
        </w:rPr>
        <w:t>An understanding of the development of the various cells of the blood, their relation to immunity, and to the established lymphoid structures including the lymphatics, lymph nodes, spleen, tonsils and thymus. The integration of the immune system with the barriers to the outside world: the skin, gut and respiratory epithelial lining.</w:t>
      </w:r>
    </w:p>
    <w:p w14:paraId="28334B06" w14:textId="77777777" w:rsidR="00F70CF3" w:rsidRPr="00BD4883" w:rsidRDefault="00F70CF3" w:rsidP="00F70CF3">
      <w:pPr>
        <w:numPr>
          <w:ilvl w:val="0"/>
          <w:numId w:val="28"/>
        </w:numPr>
        <w:spacing w:before="100" w:beforeAutospacing="1" w:after="100" w:afterAutospacing="1" w:line="432" w:lineRule="atLeast"/>
        <w:rPr>
          <w:rFonts w:eastAsia="Times New Roman" w:cs="Arial"/>
          <w:color w:val="000000"/>
        </w:rPr>
      </w:pPr>
      <w:r w:rsidRPr="00BD4883">
        <w:rPr>
          <w:rFonts w:eastAsia="Times New Roman" w:cs="Arial"/>
          <w:color w:val="000000"/>
        </w:rPr>
        <w:t>An understanding of the immune response to infection</w:t>
      </w:r>
    </w:p>
    <w:p w14:paraId="52D1F55A" w14:textId="77777777" w:rsidR="00F70CF3" w:rsidRPr="00BD4883" w:rsidRDefault="00F70CF3" w:rsidP="00F70CF3">
      <w:pPr>
        <w:numPr>
          <w:ilvl w:val="0"/>
          <w:numId w:val="28"/>
        </w:numPr>
        <w:spacing w:before="100" w:beforeAutospacing="1" w:after="100" w:afterAutospacing="1" w:line="432" w:lineRule="atLeast"/>
        <w:rPr>
          <w:rFonts w:eastAsia="Times New Roman" w:cs="Arial"/>
          <w:color w:val="000000"/>
        </w:rPr>
      </w:pPr>
      <w:r w:rsidRPr="00BD4883">
        <w:rPr>
          <w:rFonts w:eastAsia="Times New Roman" w:cs="Arial"/>
          <w:color w:val="000000"/>
        </w:rPr>
        <w:t>An understanding of the pathophysiology of the immune system together with common diagnostic methods and treatments</w:t>
      </w:r>
    </w:p>
    <w:p w14:paraId="5BBE652B" w14:textId="77777777" w:rsidR="00F70CF3" w:rsidRPr="00BD4883" w:rsidRDefault="00F70CF3" w:rsidP="00F70CF3">
      <w:pPr>
        <w:numPr>
          <w:ilvl w:val="0"/>
          <w:numId w:val="28"/>
        </w:numPr>
        <w:spacing w:before="100" w:beforeAutospacing="1" w:after="100" w:afterAutospacing="1" w:line="432" w:lineRule="atLeast"/>
        <w:rPr>
          <w:rFonts w:eastAsia="Times New Roman" w:cs="Arial"/>
          <w:color w:val="000000"/>
        </w:rPr>
      </w:pPr>
      <w:r w:rsidRPr="00BD4883">
        <w:rPr>
          <w:rFonts w:eastAsia="Times New Roman" w:cs="Arial"/>
          <w:color w:val="000000"/>
        </w:rPr>
        <w:t>Basic understanding of patient-facing software applications, such as personal health record</w:t>
      </w:r>
    </w:p>
    <w:p w14:paraId="323C1CE8" w14:textId="77777777" w:rsidR="00F70CF3" w:rsidRPr="00BD4883" w:rsidRDefault="00F70CF3" w:rsidP="00F70CF3">
      <w:pPr>
        <w:pBdr>
          <w:bottom w:val="single" w:sz="12" w:space="0" w:color="CC0000"/>
        </w:pBdr>
        <w:spacing w:before="100" w:beforeAutospacing="1" w:after="408" w:line="432" w:lineRule="atLeast"/>
        <w:outlineLvl w:val="1"/>
        <w:rPr>
          <w:rFonts w:eastAsia="Times New Roman" w:cs="Arial"/>
          <w:b/>
          <w:bCs/>
          <w:color w:val="000000"/>
          <w:sz w:val="31"/>
          <w:szCs w:val="31"/>
        </w:rPr>
      </w:pPr>
      <w:r w:rsidRPr="00BD4883">
        <w:rPr>
          <w:rFonts w:eastAsia="Times New Roman" w:cs="Arial"/>
          <w:b/>
          <w:bCs/>
          <w:color w:val="000000"/>
          <w:sz w:val="31"/>
          <w:szCs w:val="31"/>
        </w:rPr>
        <w:t>Module 5 - Renal, Urinary and Reproductive Systems, and Cancer</w:t>
      </w:r>
    </w:p>
    <w:p w14:paraId="472DB48A" w14:textId="77777777" w:rsidR="00F70CF3" w:rsidRPr="00BD4883" w:rsidRDefault="00F70CF3" w:rsidP="00F70CF3">
      <w:pPr>
        <w:numPr>
          <w:ilvl w:val="0"/>
          <w:numId w:val="29"/>
        </w:numPr>
        <w:spacing w:before="100" w:beforeAutospacing="1" w:after="100" w:afterAutospacing="1" w:line="432" w:lineRule="atLeast"/>
        <w:rPr>
          <w:rFonts w:eastAsia="Times New Roman" w:cs="Arial"/>
          <w:color w:val="000000"/>
        </w:rPr>
      </w:pPr>
      <w:r w:rsidRPr="00BD4883">
        <w:rPr>
          <w:rFonts w:eastAsia="Times New Roman" w:cs="Arial"/>
          <w:color w:val="000000"/>
        </w:rPr>
        <w:t>Lecture Nine: The Renal and Urinary Systems</w:t>
      </w:r>
    </w:p>
    <w:p w14:paraId="3F73FE2E" w14:textId="77777777" w:rsidR="00F70CF3" w:rsidRPr="00BD4883" w:rsidRDefault="00F70CF3" w:rsidP="00F70CF3">
      <w:pPr>
        <w:numPr>
          <w:ilvl w:val="0"/>
          <w:numId w:val="29"/>
        </w:numPr>
        <w:spacing w:before="100" w:beforeAutospacing="1" w:after="100" w:afterAutospacing="1" w:line="432" w:lineRule="atLeast"/>
        <w:rPr>
          <w:rFonts w:eastAsia="Times New Roman" w:cs="Arial"/>
          <w:color w:val="000000"/>
        </w:rPr>
      </w:pPr>
      <w:r w:rsidRPr="00BD4883">
        <w:rPr>
          <w:rFonts w:eastAsia="Times New Roman" w:cs="Arial"/>
          <w:color w:val="000000"/>
        </w:rPr>
        <w:t>Lecture Ten: Cancer</w:t>
      </w:r>
    </w:p>
    <w:p w14:paraId="5FEB01B3" w14:textId="77777777" w:rsidR="00F70CF3" w:rsidRPr="00BD4883" w:rsidRDefault="00F70CF3" w:rsidP="00F70CF3">
      <w:pPr>
        <w:spacing w:after="100" w:afterAutospacing="1" w:line="432" w:lineRule="atLeast"/>
        <w:rPr>
          <w:rFonts w:eastAsia="Times New Roman" w:cs="Arial"/>
          <w:color w:val="000000"/>
        </w:rPr>
      </w:pPr>
      <w:r w:rsidRPr="00BD4883">
        <w:rPr>
          <w:rFonts w:eastAsia="Times New Roman" w:cs="Arial"/>
          <w:color w:val="000000"/>
          <w:u w:val="single"/>
        </w:rPr>
        <w:t>Learning Objectives:</w:t>
      </w:r>
    </w:p>
    <w:p w14:paraId="55AD2BCF" w14:textId="77777777" w:rsidR="00F70CF3" w:rsidRPr="00BD4883" w:rsidRDefault="00F70CF3" w:rsidP="00F70CF3">
      <w:pPr>
        <w:numPr>
          <w:ilvl w:val="0"/>
          <w:numId w:val="30"/>
        </w:numPr>
        <w:spacing w:before="100" w:beforeAutospacing="1" w:after="100" w:afterAutospacing="1" w:line="432" w:lineRule="atLeast"/>
        <w:rPr>
          <w:rFonts w:eastAsia="Times New Roman" w:cs="Arial"/>
          <w:color w:val="000000"/>
        </w:rPr>
      </w:pPr>
      <w:r w:rsidRPr="00BD4883">
        <w:rPr>
          <w:rFonts w:eastAsia="Times New Roman" w:cs="Arial"/>
          <w:color w:val="000000"/>
        </w:rPr>
        <w:t>The structure, function and basic physiology of the renal and urinary systems</w:t>
      </w:r>
    </w:p>
    <w:p w14:paraId="6F7680BC" w14:textId="77777777" w:rsidR="00F70CF3" w:rsidRPr="00BD4883" w:rsidRDefault="00F70CF3" w:rsidP="00F70CF3">
      <w:pPr>
        <w:numPr>
          <w:ilvl w:val="0"/>
          <w:numId w:val="30"/>
        </w:numPr>
        <w:spacing w:before="100" w:beforeAutospacing="1" w:after="100" w:afterAutospacing="1" w:line="432" w:lineRule="atLeast"/>
        <w:rPr>
          <w:rFonts w:eastAsia="Times New Roman" w:cs="Arial"/>
          <w:color w:val="000000"/>
        </w:rPr>
      </w:pPr>
      <w:r w:rsidRPr="00BD4883">
        <w:rPr>
          <w:rFonts w:eastAsia="Times New Roman" w:cs="Arial"/>
          <w:color w:val="000000"/>
        </w:rPr>
        <w:t>Have a basic appreciation of the means to measure and image functions and pathologies of these systems</w:t>
      </w:r>
    </w:p>
    <w:p w14:paraId="303592A6" w14:textId="77777777" w:rsidR="00F70CF3" w:rsidRPr="00BD4883" w:rsidRDefault="00F70CF3" w:rsidP="00F70CF3">
      <w:pPr>
        <w:numPr>
          <w:ilvl w:val="0"/>
          <w:numId w:val="30"/>
        </w:numPr>
        <w:spacing w:before="100" w:beforeAutospacing="1" w:after="100" w:afterAutospacing="1" w:line="432" w:lineRule="atLeast"/>
        <w:rPr>
          <w:rFonts w:eastAsia="Times New Roman" w:cs="Arial"/>
          <w:color w:val="000000"/>
        </w:rPr>
      </w:pPr>
      <w:r w:rsidRPr="00BD4883">
        <w:rPr>
          <w:rFonts w:eastAsia="Times New Roman" w:cs="Arial"/>
          <w:color w:val="000000"/>
        </w:rPr>
        <w:t>An understanding of therapies available and possible medical interventions</w:t>
      </w:r>
    </w:p>
    <w:p w14:paraId="1247C8F1" w14:textId="7DDB0697" w:rsidR="00F70CF3" w:rsidRPr="00BD4883" w:rsidRDefault="00F70CF3" w:rsidP="00F70CF3">
      <w:pPr>
        <w:numPr>
          <w:ilvl w:val="0"/>
          <w:numId w:val="30"/>
        </w:numPr>
        <w:spacing w:before="100" w:beforeAutospacing="1" w:after="100" w:afterAutospacing="1" w:line="432" w:lineRule="atLeast"/>
        <w:rPr>
          <w:rFonts w:eastAsia="Times New Roman" w:cs="Arial"/>
          <w:color w:val="000000"/>
        </w:rPr>
      </w:pPr>
      <w:r w:rsidRPr="00BD4883">
        <w:rPr>
          <w:rFonts w:eastAsia="Times New Roman" w:cs="Arial"/>
          <w:color w:val="000000"/>
        </w:rPr>
        <w:t>Understand the basics of how tumors arise: disposition and multi</w:t>
      </w:r>
      <w:r w:rsidRPr="00BD4883">
        <w:rPr>
          <w:rFonts w:ascii="Cambria Math" w:eastAsia="Times New Roman" w:hAnsi="Cambria Math" w:cs="Cambria Math"/>
          <w:color w:val="000000"/>
        </w:rPr>
        <w:t>‐</w:t>
      </w:r>
      <w:r w:rsidRPr="00BD4883">
        <w:rPr>
          <w:rFonts w:eastAsia="Times New Roman" w:cs="Arial"/>
          <w:color w:val="000000"/>
        </w:rPr>
        <w:t>step insults to the cell</w:t>
      </w:r>
    </w:p>
    <w:p w14:paraId="66F488D6" w14:textId="6F9B3C20" w:rsidR="00F70CF3" w:rsidRPr="00BD4883" w:rsidRDefault="00F70CF3" w:rsidP="00F70CF3">
      <w:pPr>
        <w:numPr>
          <w:ilvl w:val="0"/>
          <w:numId w:val="30"/>
        </w:numPr>
        <w:spacing w:before="100" w:beforeAutospacing="1" w:after="100" w:afterAutospacing="1" w:line="432" w:lineRule="atLeast"/>
        <w:rPr>
          <w:rFonts w:eastAsia="Times New Roman" w:cs="Arial"/>
          <w:color w:val="000000"/>
        </w:rPr>
      </w:pPr>
      <w:r w:rsidRPr="00BD4883">
        <w:rPr>
          <w:rFonts w:eastAsia="Times New Roman" w:cs="Arial"/>
          <w:color w:val="000000"/>
        </w:rPr>
        <w:t>Identify common diagnostic methods, treatments, and procedures associated with these disorders</w:t>
      </w:r>
    </w:p>
    <w:p w14:paraId="4E3257ED" w14:textId="44951F43" w:rsidR="00F70CF3" w:rsidRPr="00BD4883" w:rsidRDefault="00F70CF3" w:rsidP="00F70CF3">
      <w:pPr>
        <w:numPr>
          <w:ilvl w:val="0"/>
          <w:numId w:val="30"/>
        </w:numPr>
        <w:spacing w:before="100" w:beforeAutospacing="1" w:after="100" w:afterAutospacing="1" w:line="432" w:lineRule="atLeast"/>
        <w:rPr>
          <w:rFonts w:eastAsia="Times New Roman" w:cs="Arial"/>
          <w:color w:val="000000"/>
        </w:rPr>
      </w:pPr>
      <w:r w:rsidRPr="00BD4883">
        <w:rPr>
          <w:rFonts w:eastAsia="Times New Roman" w:cs="Arial"/>
          <w:color w:val="000000"/>
        </w:rPr>
        <w:lastRenderedPageBreak/>
        <w:t>Imaging techniques to aid differentiation of normal tissue from neoplastic tissue</w:t>
      </w:r>
    </w:p>
    <w:p w14:paraId="7C64054C" w14:textId="7D9722D9" w:rsidR="00F70CF3" w:rsidRPr="00BD4883" w:rsidRDefault="00F70CF3" w:rsidP="00F70CF3">
      <w:pPr>
        <w:numPr>
          <w:ilvl w:val="0"/>
          <w:numId w:val="30"/>
        </w:numPr>
        <w:spacing w:before="100" w:beforeAutospacing="1" w:after="100" w:afterAutospacing="1" w:line="432" w:lineRule="atLeast"/>
        <w:rPr>
          <w:rFonts w:eastAsia="Times New Roman" w:cs="Arial"/>
          <w:color w:val="000000"/>
        </w:rPr>
      </w:pPr>
      <w:r w:rsidRPr="00BD4883">
        <w:rPr>
          <w:rFonts w:eastAsia="Times New Roman" w:cs="Arial"/>
          <w:color w:val="000000"/>
        </w:rPr>
        <w:t>Various possible human errors in healthcare delivery process</w:t>
      </w:r>
    </w:p>
    <w:p w14:paraId="242C2B86" w14:textId="0F758355" w:rsidR="00F70CF3" w:rsidRPr="00BD4883" w:rsidRDefault="00F70CF3" w:rsidP="00F70CF3">
      <w:pPr>
        <w:pBdr>
          <w:bottom w:val="single" w:sz="12" w:space="0" w:color="CC0000"/>
        </w:pBdr>
        <w:spacing w:before="100" w:beforeAutospacing="1" w:after="408" w:line="432" w:lineRule="atLeast"/>
        <w:outlineLvl w:val="1"/>
        <w:rPr>
          <w:rFonts w:eastAsia="Times New Roman" w:cs="Arial"/>
          <w:b/>
          <w:bCs/>
          <w:color w:val="000000"/>
          <w:sz w:val="31"/>
          <w:szCs w:val="31"/>
        </w:rPr>
      </w:pPr>
      <w:r w:rsidRPr="00BD4883">
        <w:rPr>
          <w:rFonts w:eastAsia="Times New Roman" w:cs="Arial"/>
          <w:b/>
          <w:bCs/>
          <w:color w:val="000000"/>
          <w:sz w:val="31"/>
          <w:szCs w:val="31"/>
        </w:rPr>
        <w:t>Module 6 - The Endocrine System</w:t>
      </w:r>
    </w:p>
    <w:p w14:paraId="4D8E7158" w14:textId="63B20E38" w:rsidR="00F70CF3" w:rsidRPr="00BD4883" w:rsidRDefault="00F70CF3" w:rsidP="00F70CF3">
      <w:pPr>
        <w:numPr>
          <w:ilvl w:val="0"/>
          <w:numId w:val="31"/>
        </w:numPr>
        <w:spacing w:before="100" w:beforeAutospacing="1" w:after="100" w:afterAutospacing="1" w:line="432" w:lineRule="atLeast"/>
        <w:rPr>
          <w:rFonts w:eastAsia="Times New Roman" w:cs="Arial"/>
          <w:color w:val="000000"/>
        </w:rPr>
      </w:pPr>
      <w:r w:rsidRPr="00BD4883">
        <w:rPr>
          <w:rFonts w:eastAsia="Times New Roman" w:cs="Arial"/>
          <w:color w:val="000000"/>
        </w:rPr>
        <w:t>Lecture Eleven: The Endocrine System in control of reproduction and development</w:t>
      </w:r>
    </w:p>
    <w:p w14:paraId="6C9F299D" w14:textId="7A25959F" w:rsidR="00F70CF3" w:rsidRPr="00BD4883" w:rsidRDefault="00F70CF3" w:rsidP="00F70CF3">
      <w:pPr>
        <w:numPr>
          <w:ilvl w:val="0"/>
          <w:numId w:val="31"/>
        </w:numPr>
        <w:spacing w:before="100" w:beforeAutospacing="1" w:after="100" w:afterAutospacing="1" w:line="432" w:lineRule="atLeast"/>
        <w:rPr>
          <w:rFonts w:eastAsia="Times New Roman" w:cs="Arial"/>
          <w:color w:val="000000"/>
        </w:rPr>
      </w:pPr>
      <w:r w:rsidRPr="00BD4883">
        <w:rPr>
          <w:rFonts w:eastAsia="Times New Roman" w:cs="Arial"/>
          <w:color w:val="000000"/>
        </w:rPr>
        <w:t>Lecture Twelve: The Endocrine System in control of normal physiology</w:t>
      </w:r>
    </w:p>
    <w:p w14:paraId="310C5469" w14:textId="7DFABC01" w:rsidR="00F70CF3" w:rsidRPr="00BD4883" w:rsidRDefault="00F70CF3" w:rsidP="00F70CF3">
      <w:pPr>
        <w:spacing w:after="100" w:afterAutospacing="1" w:line="432" w:lineRule="atLeast"/>
        <w:rPr>
          <w:rFonts w:eastAsia="Times New Roman" w:cs="Arial"/>
          <w:color w:val="000000"/>
        </w:rPr>
      </w:pPr>
      <w:r w:rsidRPr="00BD4883">
        <w:rPr>
          <w:rFonts w:eastAsia="Times New Roman" w:cs="Arial"/>
          <w:color w:val="000000"/>
          <w:u w:val="single"/>
        </w:rPr>
        <w:t>Learning Objectives:</w:t>
      </w:r>
    </w:p>
    <w:p w14:paraId="410F1B08" w14:textId="689FE8A1" w:rsidR="00F70CF3" w:rsidRPr="00BD4883" w:rsidRDefault="00F70CF3" w:rsidP="00F70CF3">
      <w:pPr>
        <w:numPr>
          <w:ilvl w:val="0"/>
          <w:numId w:val="32"/>
        </w:numPr>
        <w:spacing w:before="100" w:beforeAutospacing="1" w:after="100" w:afterAutospacing="1" w:line="432" w:lineRule="atLeast"/>
        <w:rPr>
          <w:rFonts w:eastAsia="Times New Roman" w:cs="Arial"/>
          <w:color w:val="000000"/>
        </w:rPr>
      </w:pPr>
      <w:r w:rsidRPr="00BD4883">
        <w:rPr>
          <w:rFonts w:eastAsia="Times New Roman" w:cs="Arial"/>
          <w:color w:val="000000"/>
        </w:rPr>
        <w:t>Recognition of the fundamental importance of endocrine messaging to every stage of human development, subsequent homeostasis and reproduction.</w:t>
      </w:r>
    </w:p>
    <w:p w14:paraId="7B8CE868" w14:textId="6B78B139" w:rsidR="00F70CF3" w:rsidRPr="00BD4883" w:rsidRDefault="00F70CF3" w:rsidP="00F70CF3">
      <w:pPr>
        <w:numPr>
          <w:ilvl w:val="0"/>
          <w:numId w:val="32"/>
        </w:numPr>
        <w:spacing w:before="100" w:beforeAutospacing="1" w:after="100" w:afterAutospacing="1" w:line="432" w:lineRule="atLeast"/>
        <w:rPr>
          <w:rFonts w:eastAsia="Times New Roman" w:cs="Arial"/>
          <w:color w:val="000000"/>
        </w:rPr>
      </w:pPr>
      <w:r w:rsidRPr="00BD4883">
        <w:rPr>
          <w:rFonts w:eastAsia="Times New Roman" w:cs="Arial"/>
          <w:color w:val="000000"/>
        </w:rPr>
        <w:t>An appreciation of cascading errors of varying severity depending upon the level at which an endocrine pathway is disturbed.</w:t>
      </w:r>
    </w:p>
    <w:p w14:paraId="67BCCA33" w14:textId="548D3CB0" w:rsidR="00F70CF3" w:rsidRPr="00BD4883" w:rsidRDefault="00F70CF3" w:rsidP="00F70CF3">
      <w:pPr>
        <w:numPr>
          <w:ilvl w:val="0"/>
          <w:numId w:val="32"/>
        </w:numPr>
        <w:spacing w:before="100" w:beforeAutospacing="1" w:after="100" w:afterAutospacing="1" w:line="432" w:lineRule="atLeast"/>
        <w:rPr>
          <w:rFonts w:eastAsia="Times New Roman" w:cs="Arial"/>
          <w:color w:val="000000"/>
        </w:rPr>
      </w:pPr>
      <w:r w:rsidRPr="00BD4883">
        <w:rPr>
          <w:rFonts w:eastAsia="Times New Roman" w:cs="Arial"/>
          <w:color w:val="000000"/>
        </w:rPr>
        <w:t>Diagnostic assays to assess endocrine malfunctions; integration of physical changes and biochemical parameters to conclude a differential diagnosis</w:t>
      </w:r>
    </w:p>
    <w:p w14:paraId="20FB59D0" w14:textId="56267E0F" w:rsidR="00970BBC" w:rsidRPr="00810A48" w:rsidRDefault="00F70CF3" w:rsidP="00810A48">
      <w:pPr>
        <w:pBdr>
          <w:bottom w:val="single" w:sz="12" w:space="0" w:color="CC0000"/>
        </w:pBdr>
        <w:spacing w:before="100" w:beforeAutospacing="1" w:after="408" w:line="432" w:lineRule="atLeast"/>
        <w:outlineLvl w:val="1"/>
        <w:rPr>
          <w:rFonts w:eastAsia="Times New Roman" w:cs="Arial"/>
          <w:color w:val="000000"/>
        </w:rPr>
      </w:pPr>
      <w:r w:rsidRPr="00BD4883">
        <w:rPr>
          <w:rFonts w:eastAsia="Times New Roman" w:cs="Arial"/>
          <w:color w:val="000000"/>
        </w:rPr>
        <w:t>Therapeutic options and measures of success</w:t>
      </w:r>
    </w:p>
    <w:p w14:paraId="65B1577A" w14:textId="1DBEE150" w:rsidR="00004527" w:rsidRPr="00BD4883" w:rsidRDefault="00382265" w:rsidP="00004527">
      <w:pPr>
        <w:spacing w:after="0" w:line="240" w:lineRule="auto"/>
        <w:rPr>
          <w:rFonts w:cs="Arial"/>
          <w:b/>
        </w:rPr>
      </w:pPr>
      <w:r>
        <w:rPr>
          <w:rFonts w:cs="Arial"/>
          <w:b/>
          <w:noProof/>
          <w:lang w:eastAsia="zh-CN"/>
        </w:rPr>
        <w:drawing>
          <wp:anchor distT="0" distB="0" distL="114300" distR="114300" simplePos="0" relativeHeight="251659264" behindDoc="1" locked="0" layoutInCell="1" allowOverlap="1" wp14:anchorId="3D525AF5" wp14:editId="1841101C">
            <wp:simplePos x="0" y="0"/>
            <wp:positionH relativeFrom="margin">
              <wp:posOffset>142240</wp:posOffset>
            </wp:positionH>
            <wp:positionV relativeFrom="paragraph">
              <wp:posOffset>6985</wp:posOffset>
            </wp:positionV>
            <wp:extent cx="984885" cy="1476375"/>
            <wp:effectExtent l="0" t="0" r="5715" b="9525"/>
            <wp:wrapTight wrapText="bothSides">
              <wp:wrapPolygon edited="0">
                <wp:start x="0" y="0"/>
                <wp:lineTo x="0" y="21461"/>
                <wp:lineTo x="21308" y="21461"/>
                <wp:lineTo x="2130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44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84885" cy="1476375"/>
                    </a:xfrm>
                    <a:prstGeom prst="rect">
                      <a:avLst/>
                    </a:prstGeom>
                  </pic:spPr>
                </pic:pic>
              </a:graphicData>
            </a:graphic>
            <wp14:sizeRelH relativeFrom="margin">
              <wp14:pctWidth>0</wp14:pctWidth>
            </wp14:sizeRelH>
            <wp14:sizeRelV relativeFrom="margin">
              <wp14:pctHeight>0</wp14:pctHeight>
            </wp14:sizeRelV>
          </wp:anchor>
        </w:drawing>
      </w:r>
      <w:r w:rsidR="00004527" w:rsidRPr="00BD4883">
        <w:rPr>
          <w:rFonts w:cs="Arial"/>
          <w:b/>
        </w:rPr>
        <w:t>Instructor Biography</w:t>
      </w:r>
    </w:p>
    <w:p w14:paraId="034897B4" w14:textId="77777777" w:rsidR="0080050A" w:rsidRDefault="0080050A" w:rsidP="00004527">
      <w:pPr>
        <w:spacing w:after="0" w:line="240" w:lineRule="auto"/>
        <w:rPr>
          <w:rFonts w:cs="Arial"/>
        </w:rPr>
      </w:pPr>
      <w:r>
        <w:rPr>
          <w:rFonts w:cs="Arial"/>
        </w:rPr>
        <w:t>Adjunct Associate Professor</w:t>
      </w:r>
    </w:p>
    <w:p w14:paraId="525E1902" w14:textId="54E57F11" w:rsidR="00004527" w:rsidRPr="00BD4883" w:rsidRDefault="00BD4883" w:rsidP="00004527">
      <w:pPr>
        <w:spacing w:after="0" w:line="240" w:lineRule="auto"/>
        <w:rPr>
          <w:rFonts w:cs="Arial"/>
        </w:rPr>
      </w:pPr>
      <w:r w:rsidRPr="00BD4883">
        <w:rPr>
          <w:rFonts w:cs="Arial"/>
        </w:rPr>
        <w:t>Derin B Keskin</w:t>
      </w:r>
      <w:r w:rsidR="00004527" w:rsidRPr="00BD4883">
        <w:rPr>
          <w:rFonts w:cs="Arial"/>
        </w:rPr>
        <w:t>, Ph.D.</w:t>
      </w:r>
    </w:p>
    <w:p w14:paraId="7EF24647" w14:textId="68C15B35" w:rsidR="00004527" w:rsidRPr="00BD4883" w:rsidRDefault="00004527" w:rsidP="00004527">
      <w:pPr>
        <w:spacing w:after="0" w:line="240" w:lineRule="auto"/>
        <w:rPr>
          <w:rFonts w:cs="Arial"/>
        </w:rPr>
      </w:pPr>
    </w:p>
    <w:p w14:paraId="116B418A" w14:textId="78DE30E3" w:rsidR="00814C82" w:rsidRPr="00382265" w:rsidRDefault="00814C82" w:rsidP="00382265">
      <w:pPr>
        <w:pStyle w:val="Header"/>
        <w:spacing w:before="101"/>
        <w:ind w:right="611"/>
        <w:jc w:val="both"/>
      </w:pPr>
      <w:r w:rsidRPr="00BD4883">
        <w:rPr>
          <w:rFonts w:cs="Arial"/>
        </w:rPr>
        <w:t xml:space="preserve">Derin Keskin is the </w:t>
      </w:r>
      <w:r w:rsidR="0080050A">
        <w:rPr>
          <w:rFonts w:cs="Arial"/>
        </w:rPr>
        <w:t>Principal Scientist</w:t>
      </w:r>
      <w:r w:rsidRPr="00BD4883">
        <w:rPr>
          <w:rFonts w:cs="Arial"/>
        </w:rPr>
        <w:t xml:space="preserve"> at </w:t>
      </w:r>
      <w:r w:rsidRPr="00BD4883">
        <w:rPr>
          <w:rStyle w:val="st"/>
          <w:rFonts w:cs="Arial"/>
        </w:rPr>
        <w:t>The Translational Immunogenomics Lab (</w:t>
      </w:r>
      <w:r w:rsidRPr="00BD4883">
        <w:rPr>
          <w:rStyle w:val="Emphasis"/>
          <w:rFonts w:cs="Arial"/>
        </w:rPr>
        <w:t>TIGL</w:t>
      </w:r>
      <w:r w:rsidRPr="00BD4883">
        <w:rPr>
          <w:rStyle w:val="st"/>
          <w:rFonts w:cs="Arial"/>
        </w:rPr>
        <w:t>)</w:t>
      </w:r>
      <w:r w:rsidRPr="00BD4883">
        <w:rPr>
          <w:rFonts w:cs="Arial"/>
        </w:rPr>
        <w:t xml:space="preserve"> of Dana Farber Cancer Institute. He is a T cell immunologist investigating vaccine development against viruses and cancers. He also teaches at Harvard Medical School</w:t>
      </w:r>
      <w:r w:rsidR="0080050A">
        <w:rPr>
          <w:rFonts w:cs="Arial"/>
        </w:rPr>
        <w:t>, Denmark Technical University</w:t>
      </w:r>
      <w:r w:rsidRPr="00BD4883">
        <w:rPr>
          <w:rFonts w:cs="Arial"/>
        </w:rPr>
        <w:t xml:space="preserve"> and Boston University.</w:t>
      </w:r>
      <w:r w:rsidR="009924D6">
        <w:rPr>
          <w:rFonts w:cs="Arial"/>
        </w:rPr>
        <w:t xml:space="preserve"> </w:t>
      </w:r>
      <w:r w:rsidR="00382265" w:rsidRPr="00BD4883">
        <w:rPr>
          <w:rFonts w:cs="Arial"/>
        </w:rPr>
        <w:t>Derin earned his PhD discovering IDO inhibition of T cell immune responses in the laboratory of Andrew Mellor at the Medical College of Georgia</w:t>
      </w:r>
      <w:r w:rsidR="00382265">
        <w:rPr>
          <w:rFonts w:cs="Arial"/>
        </w:rPr>
        <w:t xml:space="preserve"> in 2002</w:t>
      </w:r>
      <w:r w:rsidR="00382265" w:rsidRPr="00BD4883">
        <w:rPr>
          <w:rFonts w:cs="Arial"/>
        </w:rPr>
        <w:t xml:space="preserve">. He did his postdoctoral studies in the laboratory of Jack Strominger at Harvard University and later in the Laboratory of Ellis </w:t>
      </w:r>
      <w:proofErr w:type="spellStart"/>
      <w:r w:rsidR="00382265" w:rsidRPr="00BD4883">
        <w:rPr>
          <w:rFonts w:cs="Arial"/>
        </w:rPr>
        <w:t>Reinherz</w:t>
      </w:r>
      <w:proofErr w:type="spellEnd"/>
      <w:r w:rsidR="00382265" w:rsidRPr="00BD4883">
        <w:rPr>
          <w:rFonts w:cs="Arial"/>
        </w:rPr>
        <w:t xml:space="preserve"> at Dana Farber Cancer Institute. Derin currently investigates neoantigen</w:t>
      </w:r>
      <w:r w:rsidR="00382265">
        <w:rPr>
          <w:rFonts w:cs="Arial"/>
        </w:rPr>
        <w:t xml:space="preserve"> based cancer vaccines at </w:t>
      </w:r>
      <w:r w:rsidR="00382265" w:rsidRPr="00BD4883">
        <w:rPr>
          <w:rFonts w:cs="Arial"/>
        </w:rPr>
        <w:t xml:space="preserve">Dana Farber Cancer </w:t>
      </w:r>
      <w:r w:rsidR="00382265" w:rsidRPr="00BD4883">
        <w:rPr>
          <w:rFonts w:cs="Arial"/>
        </w:rPr>
        <w:lastRenderedPageBreak/>
        <w:t>Institute</w:t>
      </w:r>
      <w:r w:rsidR="00382265">
        <w:rPr>
          <w:rFonts w:cs="Arial"/>
        </w:rPr>
        <w:t xml:space="preserve">. </w:t>
      </w:r>
      <w:r w:rsidR="009924D6">
        <w:rPr>
          <w:rFonts w:cs="Arial"/>
        </w:rPr>
        <w:t xml:space="preserve">He has authored </w:t>
      </w:r>
      <w:r w:rsidR="0080050A">
        <w:rPr>
          <w:rFonts w:cs="Arial"/>
        </w:rPr>
        <w:t xml:space="preserve">over </w:t>
      </w:r>
      <w:r w:rsidR="005347FC">
        <w:rPr>
          <w:rFonts w:cs="Arial"/>
        </w:rPr>
        <w:t>90</w:t>
      </w:r>
      <w:r w:rsidR="00FC3472">
        <w:rPr>
          <w:rFonts w:cs="Arial"/>
        </w:rPr>
        <w:t xml:space="preserve"> peer-reviewed scientific publications and has multiple patents.</w:t>
      </w:r>
    </w:p>
    <w:p w14:paraId="2ECCFEBC" w14:textId="77777777" w:rsidR="00004527" w:rsidRPr="00BD4883" w:rsidRDefault="00004527" w:rsidP="00004527">
      <w:pPr>
        <w:spacing w:after="0" w:line="240" w:lineRule="auto"/>
        <w:rPr>
          <w:rFonts w:cs="Arial"/>
        </w:rPr>
      </w:pPr>
    </w:p>
    <w:p w14:paraId="09554612" w14:textId="77777777" w:rsidR="00901F06" w:rsidRPr="00BD4883" w:rsidRDefault="00901F06" w:rsidP="00901F06">
      <w:pPr>
        <w:rPr>
          <w:rFonts w:cs="Arial"/>
          <w:b/>
        </w:rPr>
      </w:pPr>
      <w:r w:rsidRPr="00BD4883">
        <w:rPr>
          <w:rFonts w:cs="Arial"/>
          <w:b/>
        </w:rPr>
        <w:t>Boston University Library Link</w:t>
      </w:r>
    </w:p>
    <w:p w14:paraId="276DD6DD" w14:textId="77777777" w:rsidR="00901F06" w:rsidRPr="00BD4883" w:rsidRDefault="00901F06" w:rsidP="00901F06">
      <w:pPr>
        <w:spacing w:after="0" w:line="240" w:lineRule="auto"/>
        <w:jc w:val="both"/>
        <w:rPr>
          <w:rFonts w:cs="Arial"/>
        </w:rPr>
      </w:pPr>
      <w:r w:rsidRPr="00BD4883">
        <w:rPr>
          <w:rFonts w:cs="Arial"/>
        </w:rPr>
        <w:t>As Boston University students you have full access to the BU Library—even if you do not live in Boston. From any computer, you can gain access to anything at the library that is electronically formatted. To connect to the library use the link http://www.bu.edu/library. You may use the library's content whether you are connected through your online course or not, by confirming your status as a BU community member using your Kerberos password.</w:t>
      </w:r>
    </w:p>
    <w:p w14:paraId="3BD8AA36" w14:textId="77777777" w:rsidR="00901F06" w:rsidRPr="00BD4883" w:rsidRDefault="00901F06" w:rsidP="00901F06">
      <w:pPr>
        <w:spacing w:after="0" w:line="240" w:lineRule="auto"/>
        <w:jc w:val="both"/>
        <w:rPr>
          <w:rFonts w:cs="Arial"/>
        </w:rPr>
      </w:pPr>
    </w:p>
    <w:p w14:paraId="0206AFDD" w14:textId="77777777" w:rsidR="00901F06" w:rsidRPr="00BD4883" w:rsidRDefault="00901F06" w:rsidP="00901F06">
      <w:pPr>
        <w:spacing w:after="0" w:line="240" w:lineRule="auto"/>
        <w:jc w:val="both"/>
        <w:rPr>
          <w:rFonts w:cs="Arial"/>
        </w:rPr>
      </w:pPr>
      <w:r w:rsidRPr="00BD4883">
        <w:rPr>
          <w:rFonts w:cs="Arial"/>
        </w:rPr>
        <w:t xml:space="preserve">Once in the library system, you can use the links under “Resources” and “Collections” to find databases, </w:t>
      </w:r>
      <w:proofErr w:type="spellStart"/>
      <w:r w:rsidRPr="00BD4883">
        <w:rPr>
          <w:rFonts w:cs="Arial"/>
        </w:rPr>
        <w:t>eJournals</w:t>
      </w:r>
      <w:proofErr w:type="spellEnd"/>
      <w:r w:rsidRPr="00BD4883">
        <w:rPr>
          <w:rFonts w:cs="Arial"/>
        </w:rPr>
        <w:t xml:space="preserve">, and eBooks, as well as search the library by subject. Go to http://www.bu.edu/library/research/collections to access eBooks and </w:t>
      </w:r>
      <w:proofErr w:type="spellStart"/>
      <w:r w:rsidRPr="00BD4883">
        <w:rPr>
          <w:rFonts w:cs="Arial"/>
        </w:rPr>
        <w:t>eJournals</w:t>
      </w:r>
      <w:proofErr w:type="spellEnd"/>
      <w:r w:rsidRPr="00BD4883">
        <w:rPr>
          <w:rFonts w:cs="Arial"/>
        </w:rPr>
        <w:t xml:space="preserve"> directly. If you have questions about library resources, go to http://www.bu.edu/library/help/ask-a-librarian to email the library or use the live chat feature. </w:t>
      </w:r>
    </w:p>
    <w:p w14:paraId="55956762" w14:textId="77777777" w:rsidR="00901F06" w:rsidRPr="00BD4883" w:rsidRDefault="00901F06" w:rsidP="00901F06">
      <w:pPr>
        <w:spacing w:after="0" w:line="240" w:lineRule="auto"/>
        <w:jc w:val="both"/>
        <w:rPr>
          <w:rFonts w:cs="Arial"/>
        </w:rPr>
      </w:pPr>
    </w:p>
    <w:p w14:paraId="5FABF9FC" w14:textId="77777777" w:rsidR="00901F06" w:rsidRPr="00BD4883" w:rsidRDefault="00901F06" w:rsidP="00901F06">
      <w:pPr>
        <w:spacing w:after="0" w:line="240" w:lineRule="auto"/>
        <w:jc w:val="both"/>
        <w:rPr>
          <w:rFonts w:cs="Arial"/>
        </w:rPr>
      </w:pPr>
      <w:r w:rsidRPr="00BD4883">
        <w:rPr>
          <w:rFonts w:cs="Arial"/>
        </w:rPr>
        <w:t xml:space="preserve">To locate course eReserves, go to </w:t>
      </w:r>
      <w:hyperlink r:id="rId16" w:history="1">
        <w:r w:rsidRPr="00BD4883">
          <w:rPr>
            <w:rStyle w:val="Hyperlink"/>
            <w:rFonts w:cs="Arial"/>
          </w:rPr>
          <w:t>http://www.bu.edu/library/services/reserves</w:t>
        </w:r>
      </w:hyperlink>
      <w:r w:rsidRPr="00BD4883">
        <w:rPr>
          <w:rFonts w:cs="Arial"/>
        </w:rPr>
        <w:t>.</w:t>
      </w:r>
    </w:p>
    <w:p w14:paraId="63A23227" w14:textId="77777777" w:rsidR="00901F06" w:rsidRPr="00BD4883" w:rsidRDefault="00901F06" w:rsidP="00901F06">
      <w:pPr>
        <w:spacing w:after="0" w:line="240" w:lineRule="auto"/>
        <w:jc w:val="both"/>
        <w:rPr>
          <w:rFonts w:cs="Arial"/>
        </w:rPr>
      </w:pPr>
    </w:p>
    <w:p w14:paraId="606AFACD" w14:textId="77777777" w:rsidR="00901F06" w:rsidRPr="00BD4883" w:rsidRDefault="00901F06" w:rsidP="00901F06">
      <w:pPr>
        <w:spacing w:after="0" w:line="240" w:lineRule="auto"/>
        <w:jc w:val="both"/>
        <w:rPr>
          <w:rFonts w:cs="Arial"/>
        </w:rPr>
      </w:pPr>
      <w:r w:rsidRPr="00BD4883">
        <w:rPr>
          <w:rFonts w:cs="Arial"/>
        </w:rPr>
        <w:t>Please note that you are not to post attachments of the required or other readings in the water cooler or other areas of the course, as it is an infringement on copyright laws and department policy. All students have access to the library system and will need to develop research skills that include how to find articles through library systems and databases.</w:t>
      </w:r>
    </w:p>
    <w:p w14:paraId="03247540" w14:textId="77777777" w:rsidR="00901F06" w:rsidRPr="00BD4883" w:rsidRDefault="00901F06" w:rsidP="00901F06">
      <w:pPr>
        <w:spacing w:after="0" w:line="240" w:lineRule="auto"/>
        <w:jc w:val="both"/>
        <w:rPr>
          <w:rFonts w:cs="Arial"/>
        </w:rPr>
      </w:pPr>
    </w:p>
    <w:p w14:paraId="28B2C582" w14:textId="77777777" w:rsidR="00901F06" w:rsidRPr="00BD4883" w:rsidRDefault="00901F06" w:rsidP="008D1CB4">
      <w:pPr>
        <w:pStyle w:val="NoSpacing"/>
        <w:rPr>
          <w:rFonts w:cs="Arial"/>
          <w:b/>
        </w:rPr>
      </w:pPr>
    </w:p>
    <w:sectPr w:rsidR="00901F06" w:rsidRPr="00BD4883" w:rsidSect="00937290">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62B14" w14:textId="77777777" w:rsidR="00DC5035" w:rsidRDefault="00DC5035" w:rsidP="008D1CB4">
      <w:pPr>
        <w:spacing w:after="0" w:line="240" w:lineRule="auto"/>
      </w:pPr>
      <w:r>
        <w:separator/>
      </w:r>
    </w:p>
  </w:endnote>
  <w:endnote w:type="continuationSeparator" w:id="0">
    <w:p w14:paraId="475B6D17" w14:textId="77777777" w:rsidR="00DC5035" w:rsidRDefault="00DC5035" w:rsidP="008D1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5AE4A" w14:textId="77777777" w:rsidR="00DC5035" w:rsidRDefault="00DC5035" w:rsidP="008D1CB4">
      <w:pPr>
        <w:spacing w:after="0" w:line="240" w:lineRule="auto"/>
      </w:pPr>
      <w:r>
        <w:separator/>
      </w:r>
    </w:p>
  </w:footnote>
  <w:footnote w:type="continuationSeparator" w:id="0">
    <w:p w14:paraId="5F32C090" w14:textId="77777777" w:rsidR="00DC5035" w:rsidRDefault="00DC5035" w:rsidP="008D1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3AF33" w14:textId="77777777" w:rsidR="001A7EA1" w:rsidRPr="00023383" w:rsidRDefault="001A7EA1" w:rsidP="008D1CB4">
    <w:pPr>
      <w:pStyle w:val="Small"/>
      <w:rPr>
        <w:sz w:val="28"/>
      </w:rPr>
    </w:pPr>
    <w:r w:rsidRPr="00023383">
      <w:rPr>
        <w:b/>
        <w:noProof/>
        <w:sz w:val="28"/>
        <w:lang w:eastAsia="zh-CN"/>
      </w:rPr>
      <w:drawing>
        <wp:anchor distT="0" distB="0" distL="114300" distR="114300" simplePos="0" relativeHeight="251659264" behindDoc="0" locked="0" layoutInCell="1" allowOverlap="1" wp14:anchorId="6D431F4F" wp14:editId="43150D04">
          <wp:simplePos x="0" y="0"/>
          <wp:positionH relativeFrom="column">
            <wp:posOffset>4966335</wp:posOffset>
          </wp:positionH>
          <wp:positionV relativeFrom="paragraph">
            <wp:posOffset>193040</wp:posOffset>
          </wp:positionV>
          <wp:extent cx="1014730" cy="450850"/>
          <wp:effectExtent l="19050" t="0" r="0" b="0"/>
          <wp:wrapSquare wrapText="bothSides"/>
          <wp:docPr id="2" name="Picture 1" descr="boston_univ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ton_univ_cmyk"/>
                  <pic:cNvPicPr>
                    <a:picLocks noChangeAspect="1" noChangeArrowheads="1"/>
                  </pic:cNvPicPr>
                </pic:nvPicPr>
                <pic:blipFill>
                  <a:blip r:embed="rId1"/>
                  <a:srcRect/>
                  <a:stretch>
                    <a:fillRect/>
                  </a:stretch>
                </pic:blipFill>
                <pic:spPr bwMode="auto">
                  <a:xfrm>
                    <a:off x="0" y="0"/>
                    <a:ext cx="1014730" cy="450850"/>
                  </a:xfrm>
                  <a:prstGeom prst="rect">
                    <a:avLst/>
                  </a:prstGeom>
                  <a:noFill/>
                  <a:ln w="9525">
                    <a:noFill/>
                    <a:miter lim="800000"/>
                    <a:headEnd/>
                    <a:tailEnd/>
                  </a:ln>
                </pic:spPr>
              </pic:pic>
            </a:graphicData>
          </a:graphic>
        </wp:anchor>
      </w:drawing>
    </w:r>
    <w:r w:rsidRPr="00023383">
      <w:rPr>
        <w:b/>
        <w:sz w:val="28"/>
      </w:rPr>
      <w:t>Boston University</w:t>
    </w:r>
    <w:r w:rsidRPr="00023383">
      <w:rPr>
        <w:sz w:val="28"/>
      </w:rPr>
      <w:t xml:space="preserve"> Metropolitan College</w:t>
    </w:r>
  </w:p>
  <w:p w14:paraId="5B15309C" w14:textId="77777777" w:rsidR="001A7EA1" w:rsidRDefault="001A7EA1" w:rsidP="008D1CB4">
    <w:pPr>
      <w:pStyle w:val="Small"/>
      <w:ind w:right="-540"/>
    </w:pPr>
    <w:r>
      <w:br/>
    </w:r>
  </w:p>
  <w:p w14:paraId="56F6BEE4" w14:textId="77777777" w:rsidR="001A7EA1" w:rsidRDefault="001A7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30C3"/>
    <w:multiLevelType w:val="hybridMultilevel"/>
    <w:tmpl w:val="B62C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05943"/>
    <w:multiLevelType w:val="hybridMultilevel"/>
    <w:tmpl w:val="338291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656449D"/>
    <w:multiLevelType w:val="hybridMultilevel"/>
    <w:tmpl w:val="1224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453A9"/>
    <w:multiLevelType w:val="hybridMultilevel"/>
    <w:tmpl w:val="A5AE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A7A36"/>
    <w:multiLevelType w:val="multilevel"/>
    <w:tmpl w:val="74BA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B3BC1"/>
    <w:multiLevelType w:val="hybridMultilevel"/>
    <w:tmpl w:val="1D967ED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32406D4"/>
    <w:multiLevelType w:val="multilevel"/>
    <w:tmpl w:val="62DC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84CA1"/>
    <w:multiLevelType w:val="multilevel"/>
    <w:tmpl w:val="166A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2D11A2"/>
    <w:multiLevelType w:val="hybridMultilevel"/>
    <w:tmpl w:val="29EC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06A8D"/>
    <w:multiLevelType w:val="multilevel"/>
    <w:tmpl w:val="BFF0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8516A"/>
    <w:multiLevelType w:val="hybridMultilevel"/>
    <w:tmpl w:val="3A88E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A23073"/>
    <w:multiLevelType w:val="hybridMultilevel"/>
    <w:tmpl w:val="D318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F94D14"/>
    <w:multiLevelType w:val="multilevel"/>
    <w:tmpl w:val="88BC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037D21"/>
    <w:multiLevelType w:val="hybridMultilevel"/>
    <w:tmpl w:val="3EE2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13436"/>
    <w:multiLevelType w:val="hybridMultilevel"/>
    <w:tmpl w:val="5860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52720"/>
    <w:multiLevelType w:val="hybridMultilevel"/>
    <w:tmpl w:val="5174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B2706"/>
    <w:multiLevelType w:val="hybridMultilevel"/>
    <w:tmpl w:val="A9C8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72D44"/>
    <w:multiLevelType w:val="hybridMultilevel"/>
    <w:tmpl w:val="9100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B259E"/>
    <w:multiLevelType w:val="hybridMultilevel"/>
    <w:tmpl w:val="B0F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208EB"/>
    <w:multiLevelType w:val="multilevel"/>
    <w:tmpl w:val="A1D4E17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251B0E"/>
    <w:multiLevelType w:val="hybridMultilevel"/>
    <w:tmpl w:val="3078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717E7F"/>
    <w:multiLevelType w:val="multilevel"/>
    <w:tmpl w:val="468A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501808"/>
    <w:multiLevelType w:val="hybridMultilevel"/>
    <w:tmpl w:val="1FA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01E37"/>
    <w:multiLevelType w:val="hybridMultilevel"/>
    <w:tmpl w:val="C396D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7D41B9"/>
    <w:multiLevelType w:val="multilevel"/>
    <w:tmpl w:val="41CE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4D08FB"/>
    <w:multiLevelType w:val="multilevel"/>
    <w:tmpl w:val="64EE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442BA1"/>
    <w:multiLevelType w:val="multilevel"/>
    <w:tmpl w:val="F564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FB1596"/>
    <w:multiLevelType w:val="hybridMultilevel"/>
    <w:tmpl w:val="F022D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3C152B"/>
    <w:multiLevelType w:val="hybridMultilevel"/>
    <w:tmpl w:val="9F76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C07B3"/>
    <w:multiLevelType w:val="hybridMultilevel"/>
    <w:tmpl w:val="2234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91AF2"/>
    <w:multiLevelType w:val="multilevel"/>
    <w:tmpl w:val="E9C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0760D8"/>
    <w:multiLevelType w:val="hybridMultilevel"/>
    <w:tmpl w:val="2BB6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C223C"/>
    <w:multiLevelType w:val="multilevel"/>
    <w:tmpl w:val="21B6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EE2CA4"/>
    <w:multiLevelType w:val="multilevel"/>
    <w:tmpl w:val="9B1E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0155263">
    <w:abstractNumId w:val="27"/>
  </w:num>
  <w:num w:numId="2" w16cid:durableId="1692026711">
    <w:abstractNumId w:val="16"/>
  </w:num>
  <w:num w:numId="3" w16cid:durableId="2003657365">
    <w:abstractNumId w:val="28"/>
  </w:num>
  <w:num w:numId="4" w16cid:durableId="105276761">
    <w:abstractNumId w:val="17"/>
  </w:num>
  <w:num w:numId="5" w16cid:durableId="305281383">
    <w:abstractNumId w:val="1"/>
  </w:num>
  <w:num w:numId="6" w16cid:durableId="1969386413">
    <w:abstractNumId w:val="5"/>
  </w:num>
  <w:num w:numId="7" w16cid:durableId="1436947430">
    <w:abstractNumId w:val="18"/>
  </w:num>
  <w:num w:numId="8" w16cid:durableId="578055554">
    <w:abstractNumId w:val="23"/>
  </w:num>
  <w:num w:numId="9" w16cid:durableId="453867259">
    <w:abstractNumId w:val="31"/>
  </w:num>
  <w:num w:numId="10" w16cid:durableId="154616088">
    <w:abstractNumId w:val="19"/>
  </w:num>
  <w:num w:numId="11" w16cid:durableId="768232263">
    <w:abstractNumId w:val="10"/>
  </w:num>
  <w:num w:numId="12" w16cid:durableId="467825750">
    <w:abstractNumId w:val="11"/>
  </w:num>
  <w:num w:numId="13" w16cid:durableId="1662658539">
    <w:abstractNumId w:val="2"/>
  </w:num>
  <w:num w:numId="14" w16cid:durableId="62412341">
    <w:abstractNumId w:val="0"/>
  </w:num>
  <w:num w:numId="15" w16cid:durableId="1250889743">
    <w:abstractNumId w:val="20"/>
  </w:num>
  <w:num w:numId="16" w16cid:durableId="2127695622">
    <w:abstractNumId w:val="22"/>
  </w:num>
  <w:num w:numId="17" w16cid:durableId="899362186">
    <w:abstractNumId w:val="14"/>
  </w:num>
  <w:num w:numId="18" w16cid:durableId="1936983977">
    <w:abstractNumId w:val="13"/>
  </w:num>
  <w:num w:numId="19" w16cid:durableId="402921183">
    <w:abstractNumId w:val="8"/>
  </w:num>
  <w:num w:numId="20" w16cid:durableId="1552496620">
    <w:abstractNumId w:val="15"/>
  </w:num>
  <w:num w:numId="21" w16cid:durableId="779498144">
    <w:abstractNumId w:val="12"/>
  </w:num>
  <w:num w:numId="22" w16cid:durableId="443308518">
    <w:abstractNumId w:val="6"/>
  </w:num>
  <w:num w:numId="23" w16cid:durableId="1428581008">
    <w:abstractNumId w:val="9"/>
  </w:num>
  <w:num w:numId="24" w16cid:durableId="1426684374">
    <w:abstractNumId w:val="33"/>
  </w:num>
  <w:num w:numId="25" w16cid:durableId="466902378">
    <w:abstractNumId w:val="25"/>
  </w:num>
  <w:num w:numId="26" w16cid:durableId="192888941">
    <w:abstractNumId w:val="32"/>
  </w:num>
  <w:num w:numId="27" w16cid:durableId="19598948">
    <w:abstractNumId w:val="4"/>
  </w:num>
  <w:num w:numId="28" w16cid:durableId="564535817">
    <w:abstractNumId w:val="30"/>
  </w:num>
  <w:num w:numId="29" w16cid:durableId="1893468140">
    <w:abstractNumId w:val="21"/>
  </w:num>
  <w:num w:numId="30" w16cid:durableId="1870531593">
    <w:abstractNumId w:val="7"/>
  </w:num>
  <w:num w:numId="31" w16cid:durableId="1557550034">
    <w:abstractNumId w:val="24"/>
  </w:num>
  <w:num w:numId="32" w16cid:durableId="1754669073">
    <w:abstractNumId w:val="26"/>
  </w:num>
  <w:num w:numId="33" w16cid:durableId="1261841748">
    <w:abstractNumId w:val="3"/>
  </w:num>
  <w:num w:numId="34" w16cid:durableId="82748361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tjQ2MTM2NDcyNTZV0lEKTi0uzszPAykwrAUAcoA4jCwAAAA="/>
  </w:docVars>
  <w:rsids>
    <w:rsidRoot w:val="00D17479"/>
    <w:rsid w:val="00004527"/>
    <w:rsid w:val="00031724"/>
    <w:rsid w:val="00085684"/>
    <w:rsid w:val="000D410D"/>
    <w:rsid w:val="000D5DE5"/>
    <w:rsid w:val="000E780B"/>
    <w:rsid w:val="001A7EA1"/>
    <w:rsid w:val="00264C12"/>
    <w:rsid w:val="00293F8C"/>
    <w:rsid w:val="002A67C3"/>
    <w:rsid w:val="0032437C"/>
    <w:rsid w:val="00382265"/>
    <w:rsid w:val="003873F5"/>
    <w:rsid w:val="00387632"/>
    <w:rsid w:val="00430987"/>
    <w:rsid w:val="00454BB6"/>
    <w:rsid w:val="00482251"/>
    <w:rsid w:val="004C0A15"/>
    <w:rsid w:val="004E51CB"/>
    <w:rsid w:val="005347FC"/>
    <w:rsid w:val="00534992"/>
    <w:rsid w:val="00535BA0"/>
    <w:rsid w:val="005B5EEA"/>
    <w:rsid w:val="00646214"/>
    <w:rsid w:val="006662F7"/>
    <w:rsid w:val="006D7468"/>
    <w:rsid w:val="0070609A"/>
    <w:rsid w:val="00707256"/>
    <w:rsid w:val="00723B10"/>
    <w:rsid w:val="007504B4"/>
    <w:rsid w:val="007935B0"/>
    <w:rsid w:val="007A398B"/>
    <w:rsid w:val="0080050A"/>
    <w:rsid w:val="00810A48"/>
    <w:rsid w:val="00814C82"/>
    <w:rsid w:val="008772F2"/>
    <w:rsid w:val="008965B3"/>
    <w:rsid w:val="008A69A8"/>
    <w:rsid w:val="008D11D9"/>
    <w:rsid w:val="008D1CB4"/>
    <w:rsid w:val="008F5082"/>
    <w:rsid w:val="00901F06"/>
    <w:rsid w:val="00937290"/>
    <w:rsid w:val="00970BBC"/>
    <w:rsid w:val="009924D6"/>
    <w:rsid w:val="009A4F8F"/>
    <w:rsid w:val="009B5C87"/>
    <w:rsid w:val="00A16E8D"/>
    <w:rsid w:val="00A52601"/>
    <w:rsid w:val="00B54AC2"/>
    <w:rsid w:val="00B5531E"/>
    <w:rsid w:val="00B97B5C"/>
    <w:rsid w:val="00BA0712"/>
    <w:rsid w:val="00BD4883"/>
    <w:rsid w:val="00BE1927"/>
    <w:rsid w:val="00BE40F3"/>
    <w:rsid w:val="00C24E97"/>
    <w:rsid w:val="00C327D9"/>
    <w:rsid w:val="00C5497A"/>
    <w:rsid w:val="00C60DDF"/>
    <w:rsid w:val="00C70995"/>
    <w:rsid w:val="00C96F78"/>
    <w:rsid w:val="00CD18C1"/>
    <w:rsid w:val="00D00C25"/>
    <w:rsid w:val="00D17479"/>
    <w:rsid w:val="00D47E71"/>
    <w:rsid w:val="00DA4B2C"/>
    <w:rsid w:val="00DC5035"/>
    <w:rsid w:val="00DE2568"/>
    <w:rsid w:val="00E86980"/>
    <w:rsid w:val="00F20202"/>
    <w:rsid w:val="00F23ACB"/>
    <w:rsid w:val="00F26FB9"/>
    <w:rsid w:val="00F679AE"/>
    <w:rsid w:val="00F70CF3"/>
    <w:rsid w:val="00F962C5"/>
    <w:rsid w:val="00FA68A3"/>
    <w:rsid w:val="00FB3D9A"/>
    <w:rsid w:val="00FB4BD2"/>
    <w:rsid w:val="00FC33FF"/>
    <w:rsid w:val="00FC3472"/>
    <w:rsid w:val="00FE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28EC"/>
  <w15:docId w15:val="{FB366E59-49B5-4F98-974A-F3540390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CB4"/>
  </w:style>
  <w:style w:type="paragraph" w:styleId="Heading2">
    <w:name w:val="heading 2"/>
    <w:basedOn w:val="Normal"/>
    <w:next w:val="Normal"/>
    <w:link w:val="Heading2Char"/>
    <w:uiPriority w:val="9"/>
    <w:semiHidden/>
    <w:unhideWhenUsed/>
    <w:qFormat/>
    <w:rsid w:val="008D1CB4"/>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901F06"/>
    <w:pPr>
      <w:keepNext/>
      <w:spacing w:before="240" w:after="60"/>
      <w:outlineLvl w:val="2"/>
    </w:pPr>
    <w:rPr>
      <w:rFonts w:ascii="Cambria" w:eastAsia="SimSu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CB4"/>
  </w:style>
  <w:style w:type="paragraph" w:styleId="Footer">
    <w:name w:val="footer"/>
    <w:basedOn w:val="Normal"/>
    <w:link w:val="FooterChar"/>
    <w:uiPriority w:val="99"/>
    <w:semiHidden/>
    <w:unhideWhenUsed/>
    <w:rsid w:val="008D1C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1CB4"/>
  </w:style>
  <w:style w:type="paragraph" w:styleId="NoSpacing">
    <w:name w:val="No Spacing"/>
    <w:uiPriority w:val="1"/>
    <w:qFormat/>
    <w:rsid w:val="008D1CB4"/>
    <w:pPr>
      <w:spacing w:after="0" w:line="240" w:lineRule="auto"/>
    </w:pPr>
  </w:style>
  <w:style w:type="paragraph" w:customStyle="1" w:styleId="Small">
    <w:name w:val="Small"/>
    <w:basedOn w:val="Heading2"/>
    <w:rsid w:val="008D1CB4"/>
    <w:pPr>
      <w:keepLines w:val="0"/>
      <w:spacing w:before="240" w:after="60" w:line="240" w:lineRule="auto"/>
    </w:pPr>
    <w:rPr>
      <w:rFonts w:ascii="Arial" w:eastAsia="Times New Roman" w:hAnsi="Arial" w:cs="Times New Roman"/>
      <w:b w:val="0"/>
      <w:bCs w:val="0"/>
      <w:color w:val="auto"/>
      <w:sz w:val="18"/>
      <w:szCs w:val="28"/>
    </w:rPr>
  </w:style>
  <w:style w:type="character" w:customStyle="1" w:styleId="Heading2Char">
    <w:name w:val="Heading 2 Char"/>
    <w:basedOn w:val="DefaultParagraphFont"/>
    <w:link w:val="Heading2"/>
    <w:uiPriority w:val="9"/>
    <w:semiHidden/>
    <w:rsid w:val="008D1CB4"/>
    <w:rPr>
      <w:rFonts w:asciiTheme="majorHAnsi" w:eastAsiaTheme="majorEastAsia" w:hAnsiTheme="majorHAnsi"/>
      <w:b/>
      <w:bCs/>
      <w:color w:val="4F81BD" w:themeColor="accent1"/>
      <w:sz w:val="26"/>
      <w:szCs w:val="26"/>
    </w:rPr>
  </w:style>
  <w:style w:type="character" w:styleId="Hyperlink">
    <w:name w:val="Hyperlink"/>
    <w:basedOn w:val="DefaultParagraphFont"/>
    <w:uiPriority w:val="99"/>
    <w:unhideWhenUsed/>
    <w:rsid w:val="008D1CB4"/>
    <w:rPr>
      <w:color w:val="0000FF" w:themeColor="hyperlink"/>
      <w:u w:val="single"/>
    </w:rPr>
  </w:style>
  <w:style w:type="table" w:styleId="TableGrid">
    <w:name w:val="Table Grid"/>
    <w:basedOn w:val="TableNormal"/>
    <w:uiPriority w:val="59"/>
    <w:rsid w:val="00F962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6662F7"/>
    <w:rPr>
      <w:color w:val="800080" w:themeColor="followedHyperlink"/>
      <w:u w:val="single"/>
    </w:rPr>
  </w:style>
  <w:style w:type="character" w:customStyle="1" w:styleId="Heading3Char">
    <w:name w:val="Heading 3 Char"/>
    <w:basedOn w:val="DefaultParagraphFont"/>
    <w:link w:val="Heading3"/>
    <w:uiPriority w:val="9"/>
    <w:rsid w:val="00901F06"/>
    <w:rPr>
      <w:rFonts w:ascii="Cambria" w:eastAsia="SimSun" w:hAnsi="Cambria" w:cs="Times New Roman"/>
      <w:b/>
      <w:bCs/>
      <w:sz w:val="26"/>
      <w:szCs w:val="26"/>
    </w:rPr>
  </w:style>
  <w:style w:type="paragraph" w:styleId="ListParagraph">
    <w:name w:val="List Paragraph"/>
    <w:basedOn w:val="Normal"/>
    <w:uiPriority w:val="34"/>
    <w:qFormat/>
    <w:rsid w:val="007935B0"/>
    <w:pPr>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723B10"/>
    <w:rPr>
      <w:sz w:val="16"/>
      <w:szCs w:val="16"/>
    </w:rPr>
  </w:style>
  <w:style w:type="paragraph" w:styleId="CommentText">
    <w:name w:val="annotation text"/>
    <w:basedOn w:val="Normal"/>
    <w:link w:val="CommentTextChar"/>
    <w:uiPriority w:val="99"/>
    <w:semiHidden/>
    <w:unhideWhenUsed/>
    <w:rsid w:val="00723B10"/>
    <w:pPr>
      <w:spacing w:line="240" w:lineRule="auto"/>
    </w:pPr>
    <w:rPr>
      <w:sz w:val="20"/>
      <w:szCs w:val="20"/>
    </w:rPr>
  </w:style>
  <w:style w:type="character" w:customStyle="1" w:styleId="CommentTextChar">
    <w:name w:val="Comment Text Char"/>
    <w:basedOn w:val="DefaultParagraphFont"/>
    <w:link w:val="CommentText"/>
    <w:uiPriority w:val="99"/>
    <w:semiHidden/>
    <w:rsid w:val="00723B10"/>
    <w:rPr>
      <w:sz w:val="20"/>
      <w:szCs w:val="20"/>
    </w:rPr>
  </w:style>
  <w:style w:type="paragraph" w:styleId="CommentSubject">
    <w:name w:val="annotation subject"/>
    <w:basedOn w:val="CommentText"/>
    <w:next w:val="CommentText"/>
    <w:link w:val="CommentSubjectChar"/>
    <w:uiPriority w:val="99"/>
    <w:semiHidden/>
    <w:unhideWhenUsed/>
    <w:rsid w:val="00723B10"/>
    <w:rPr>
      <w:b/>
      <w:bCs/>
    </w:rPr>
  </w:style>
  <w:style w:type="character" w:customStyle="1" w:styleId="CommentSubjectChar">
    <w:name w:val="Comment Subject Char"/>
    <w:basedOn w:val="CommentTextChar"/>
    <w:link w:val="CommentSubject"/>
    <w:uiPriority w:val="99"/>
    <w:semiHidden/>
    <w:rsid w:val="00723B10"/>
    <w:rPr>
      <w:b/>
      <w:bCs/>
      <w:sz w:val="20"/>
      <w:szCs w:val="20"/>
    </w:rPr>
  </w:style>
  <w:style w:type="paragraph" w:styleId="BalloonText">
    <w:name w:val="Balloon Text"/>
    <w:basedOn w:val="Normal"/>
    <w:link w:val="BalloonTextChar"/>
    <w:uiPriority w:val="99"/>
    <w:semiHidden/>
    <w:unhideWhenUsed/>
    <w:rsid w:val="00723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B10"/>
    <w:rPr>
      <w:rFonts w:ascii="Segoe UI" w:hAnsi="Segoe UI" w:cs="Segoe UI"/>
      <w:sz w:val="18"/>
      <w:szCs w:val="18"/>
    </w:rPr>
  </w:style>
  <w:style w:type="character" w:customStyle="1" w:styleId="st">
    <w:name w:val="st"/>
    <w:rsid w:val="00814C82"/>
  </w:style>
  <w:style w:type="character" w:styleId="Emphasis">
    <w:name w:val="Emphasis"/>
    <w:uiPriority w:val="20"/>
    <w:qFormat/>
    <w:rsid w:val="00814C82"/>
    <w:rPr>
      <w:i/>
      <w:iCs/>
    </w:rPr>
  </w:style>
  <w:style w:type="character" w:styleId="UnresolvedMention">
    <w:name w:val="Unresolved Mention"/>
    <w:basedOn w:val="DefaultParagraphFont"/>
    <w:uiPriority w:val="99"/>
    <w:semiHidden/>
    <w:unhideWhenUsed/>
    <w:rsid w:val="00800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oregonstate.education/aandp/"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rinbenercikeskin@hotmail.com" TargetMode="External"/><Relationship Id="rId12" Type="http://schemas.openxmlformats.org/officeDocument/2006/relationships/hyperlink" Target="http://bu.bncolleg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u.edu/library/services/reserv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bu.bncolleg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bu.edu/met/metropolitan_college_people/student/resources/conduct/cod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anglan\Documents\BUwork\APC\Metropolitan-College-Syllabu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Metropolitan-College-Syllabus-Template</Template>
  <TotalTime>1645</TotalTime>
  <Pages>8</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BU</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Guanglan</dc:creator>
  <cp:keywords/>
  <dc:description/>
  <cp:lastModifiedBy>Keskin, Derin</cp:lastModifiedBy>
  <cp:revision>3</cp:revision>
  <dcterms:created xsi:type="dcterms:W3CDTF">2024-08-16T13:22:00Z</dcterms:created>
  <dcterms:modified xsi:type="dcterms:W3CDTF">2024-08-21T12:02:00Z</dcterms:modified>
</cp:coreProperties>
</file>