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3F59" w14:textId="1C70A701" w:rsidR="00E847CF" w:rsidRPr="005E6068" w:rsidRDefault="00E847CF" w:rsidP="001B39BE">
      <w:pPr>
        <w:pStyle w:val="Head1-Articles"/>
        <w:widowControl/>
        <w:rPr>
          <w:noProof w:val="0"/>
        </w:rPr>
      </w:pPr>
      <w:r w:rsidRPr="005E6068">
        <w:rPr>
          <w:noProof w:val="0"/>
        </w:rPr>
        <w:t>Common Ownership and Executive Incentives: The Implausibility of Compensation</w:t>
      </w:r>
      <w:r w:rsidR="00DF0A04" w:rsidRPr="005E6068">
        <w:rPr>
          <w:noProof w:val="0"/>
        </w:rPr>
        <w:br/>
      </w:r>
      <w:r w:rsidRPr="005E6068">
        <w:rPr>
          <w:noProof w:val="0"/>
        </w:rPr>
        <w:t>as an Anticompetitive Mechanism</w:t>
      </w:r>
    </w:p>
    <w:p w14:paraId="48DCEB89" w14:textId="77777777" w:rsidR="00E847CF" w:rsidRPr="005E6068" w:rsidRDefault="00E847CF" w:rsidP="001B39BE">
      <w:pPr>
        <w:pStyle w:val="AuthorName1-Articles"/>
        <w:widowControl/>
      </w:pPr>
      <w:r w:rsidRPr="005E6068">
        <w:t>David I. Walker</w:t>
      </w:r>
      <w:r w:rsidR="00247A8B" w:rsidRPr="005E6068">
        <w:rPr>
          <w:rStyle w:val="FootnoteReference"/>
          <w:b w:val="0"/>
          <w:smallCaps w:val="0"/>
          <w:noProof w:val="0"/>
        </w:rPr>
        <w:footnoteReference w:customMarkFollows="1" w:id="2"/>
        <w:sym w:font="Symbol" w:char="F02A"/>
      </w:r>
    </w:p>
    <w:p w14:paraId="5E44B511" w14:textId="77777777" w:rsidR="00E847CF" w:rsidRPr="005E6068" w:rsidRDefault="00E847CF" w:rsidP="001B39BE">
      <w:pPr>
        <w:pStyle w:val="SubHead1"/>
        <w:widowControl/>
        <w:rPr>
          <w:noProof w:val="0"/>
        </w:rPr>
      </w:pPr>
      <w:bookmarkStart w:id="0" w:name="_Toc23780661"/>
      <w:r w:rsidRPr="005E6068">
        <w:rPr>
          <w:noProof w:val="0"/>
        </w:rPr>
        <w:t>Abstract</w:t>
      </w:r>
      <w:bookmarkEnd w:id="0"/>
    </w:p>
    <w:p w14:paraId="0CE34643" w14:textId="33703893" w:rsidR="00E847CF" w:rsidRPr="005E6068" w:rsidRDefault="00E847CF" w:rsidP="001B39BE">
      <w:pPr>
        <w:pStyle w:val="Document"/>
        <w:rPr>
          <w:rFonts w:cs="Times New Roman PS"/>
          <w:i/>
          <w:noProof w:val="0"/>
        </w:rPr>
      </w:pPr>
      <w:r w:rsidRPr="005E6068">
        <w:rPr>
          <w:rFonts w:cs="Times New Roman PS"/>
          <w:i/>
          <w:noProof w:val="0"/>
        </w:rPr>
        <w:t>Mutual funds, pension funds</w:t>
      </w:r>
      <w:r w:rsidR="00106028">
        <w:rPr>
          <w:rFonts w:cs="Times New Roman PS"/>
          <w:i/>
          <w:noProof w:val="0"/>
        </w:rPr>
        <w:t>,</w:t>
      </w:r>
      <w:r w:rsidRPr="005E6068">
        <w:rPr>
          <w:rFonts w:cs="Times New Roman PS"/>
          <w:i/>
          <w:noProof w:val="0"/>
        </w:rPr>
        <w:t xml:space="preserve"> and other institutional investors are a growing presence in U.S. equity markets, and these investors frequently hold large stakes in shares of competing companies.</w:t>
      </w:r>
      <w:r w:rsidR="00DF0A04" w:rsidRPr="005E6068">
        <w:rPr>
          <w:rFonts w:cs="Times New Roman PS"/>
          <w:i/>
          <w:noProof w:val="0"/>
        </w:rPr>
        <w:t xml:space="preserve"> </w:t>
      </w:r>
      <w:r w:rsidRPr="005E6068">
        <w:rPr>
          <w:rFonts w:cs="Times New Roman PS"/>
          <w:i/>
          <w:noProof w:val="0"/>
        </w:rPr>
        <w:t xml:space="preserve">Because these common owners might prefer to maximize the values of their portfolios of companies rather than the value of individual companies in isolation, this new reality has </w:t>
      </w:r>
      <w:r w:rsidR="005E6068" w:rsidRPr="005E6068">
        <w:rPr>
          <w:rFonts w:cs="Times New Roman PS"/>
          <w:i/>
          <w:noProof w:val="0"/>
        </w:rPr>
        <w:t>led</w:t>
      </w:r>
      <w:r w:rsidRPr="005E6068">
        <w:rPr>
          <w:rFonts w:cs="Times New Roman PS"/>
          <w:i/>
          <w:noProof w:val="0"/>
        </w:rPr>
        <w:t xml:space="preserve"> to a concern that companies in concentrated industries with high degrees of common ownership might compete less vigorously with each other than they otherwise would.</w:t>
      </w:r>
      <w:r w:rsidR="00DF0A04" w:rsidRPr="005E6068">
        <w:rPr>
          <w:rFonts w:cs="Times New Roman PS"/>
          <w:i/>
          <w:noProof w:val="0"/>
        </w:rPr>
        <w:t xml:space="preserve"> </w:t>
      </w:r>
      <w:r w:rsidRPr="005E6068">
        <w:rPr>
          <w:rFonts w:cs="Times New Roman PS"/>
          <w:i/>
          <w:noProof w:val="0"/>
        </w:rPr>
        <w:t>But what mechanism would link common ownership with reduced competition?</w:t>
      </w:r>
      <w:r w:rsidR="00DF0A04" w:rsidRPr="005E6068">
        <w:rPr>
          <w:rFonts w:cs="Times New Roman PS"/>
          <w:i/>
          <w:noProof w:val="0"/>
        </w:rPr>
        <w:t xml:space="preserve"> </w:t>
      </w:r>
      <w:r w:rsidRPr="005E6068">
        <w:rPr>
          <w:rFonts w:cs="Times New Roman PS"/>
          <w:i/>
          <w:noProof w:val="0"/>
        </w:rPr>
        <w:t>Some commentators argue that one of the most plausible mechanisms is executive pay design.</w:t>
      </w:r>
      <w:r w:rsidR="00DF0A04" w:rsidRPr="005E6068">
        <w:rPr>
          <w:rFonts w:cs="Times New Roman PS"/>
          <w:i/>
          <w:noProof w:val="0"/>
        </w:rPr>
        <w:t xml:space="preserve"> </w:t>
      </w:r>
      <w:r w:rsidRPr="005E6068">
        <w:rPr>
          <w:rFonts w:cs="Times New Roman PS"/>
          <w:i/>
          <w:noProof w:val="0"/>
        </w:rPr>
        <w:t>The idea is that executive pay at companies in concentrated industries with high common ownership may be designed to dampen the incentives of the companies</w:t>
      </w:r>
      <w:r w:rsidR="009A645E">
        <w:rPr>
          <w:rFonts w:cs="Times New Roman PS"/>
          <w:i/>
          <w:noProof w:val="0"/>
        </w:rPr>
        <w:t>’</w:t>
      </w:r>
      <w:r w:rsidRPr="005E6068">
        <w:rPr>
          <w:rFonts w:cs="Times New Roman PS"/>
          <w:i/>
          <w:noProof w:val="0"/>
        </w:rPr>
        <w:t xml:space="preserve"> managers to compete aggressively with peer firms.</w:t>
      </w:r>
    </w:p>
    <w:p w14:paraId="060B4033" w14:textId="4B5B7BB3" w:rsidR="00E847CF" w:rsidRPr="005E6068" w:rsidRDefault="00E847CF" w:rsidP="001B39BE">
      <w:pPr>
        <w:pStyle w:val="Document"/>
        <w:rPr>
          <w:rFonts w:cs="Times New Roman PS"/>
          <w:i/>
          <w:noProof w:val="0"/>
        </w:rPr>
      </w:pPr>
      <w:r w:rsidRPr="005E6068">
        <w:rPr>
          <w:rFonts w:cs="Times New Roman PS"/>
          <w:i/>
          <w:noProof w:val="0"/>
        </w:rPr>
        <w:t xml:space="preserve">This </w:t>
      </w:r>
      <w:r w:rsidR="00D50C91">
        <w:rPr>
          <w:rFonts w:cs="Times New Roman PS"/>
          <w:i/>
          <w:noProof w:val="0"/>
        </w:rPr>
        <w:t>Article</w:t>
      </w:r>
      <w:r w:rsidRPr="005E6068">
        <w:rPr>
          <w:rFonts w:cs="Times New Roman PS"/>
          <w:i/>
          <w:noProof w:val="0"/>
        </w:rPr>
        <w:t xml:space="preserve"> challenges both the theoretical and empirical bases for this argument and contends that executive pay design is actually an implausible mechanism </w:t>
      </w:r>
      <w:r w:rsidR="00532C48">
        <w:rPr>
          <w:rFonts w:cs="Times New Roman PS"/>
          <w:i/>
          <w:noProof w:val="0"/>
        </w:rPr>
        <w:t xml:space="preserve">for </w:t>
      </w:r>
      <w:r w:rsidRPr="005E6068">
        <w:rPr>
          <w:rFonts w:cs="Times New Roman PS"/>
          <w:i/>
          <w:noProof w:val="0"/>
        </w:rPr>
        <w:t>linking common ownership with reduced competition.</w:t>
      </w:r>
      <w:r w:rsidR="00DF0A04" w:rsidRPr="005E6068">
        <w:rPr>
          <w:rFonts w:cs="Times New Roman PS"/>
          <w:i/>
          <w:noProof w:val="0"/>
        </w:rPr>
        <w:t xml:space="preserve"> </w:t>
      </w:r>
      <w:r w:rsidRPr="005E6068">
        <w:rPr>
          <w:rFonts w:cs="Times New Roman PS"/>
          <w:i/>
          <w:noProof w:val="0"/>
        </w:rPr>
        <w:t xml:space="preserve">For example, </w:t>
      </w:r>
      <w:r w:rsidR="00532C48">
        <w:rPr>
          <w:rFonts w:cs="Times New Roman PS"/>
          <w:i/>
          <w:noProof w:val="0"/>
        </w:rPr>
        <w:t>this Article shows</w:t>
      </w:r>
      <w:r w:rsidRPr="005E6068">
        <w:rPr>
          <w:rFonts w:cs="Times New Roman PS"/>
          <w:i/>
          <w:noProof w:val="0"/>
        </w:rPr>
        <w:t xml:space="preserve"> that, contrary to the claims of some commentators, the use of competition-enhancing executive relative performance evaluation as a compensation tool has increased dramatically in parallel with the increase in common ownership, exactly the opposite of what one would expect if common owners sought to dampen competition through pay design.</w:t>
      </w:r>
    </w:p>
    <w:p w14:paraId="78AA9F6B" w14:textId="23E9C127" w:rsidR="00E847CF" w:rsidRPr="005E6068" w:rsidRDefault="00E847CF" w:rsidP="001B39BE">
      <w:pPr>
        <w:pStyle w:val="Document"/>
        <w:rPr>
          <w:rFonts w:cs="Times New Roman PS"/>
          <w:i/>
          <w:noProof w:val="0"/>
        </w:rPr>
      </w:pPr>
      <w:bookmarkStart w:id="1" w:name="_Toc16064705"/>
      <w:r w:rsidRPr="005E6068">
        <w:rPr>
          <w:rFonts w:cs="Times New Roman PS"/>
          <w:i/>
          <w:noProof w:val="0"/>
        </w:rPr>
        <w:t xml:space="preserve">Despite voicing skepticism regarding a possible association between common ownership and executive pay design, this </w:t>
      </w:r>
      <w:r w:rsidR="00D50C91">
        <w:rPr>
          <w:rFonts w:cs="Times New Roman PS"/>
          <w:i/>
          <w:noProof w:val="0"/>
        </w:rPr>
        <w:t>Article</w:t>
      </w:r>
      <w:r w:rsidRPr="005E6068">
        <w:rPr>
          <w:rFonts w:cs="Times New Roman PS"/>
          <w:i/>
          <w:noProof w:val="0"/>
        </w:rPr>
        <w:t xml:space="preserve"> also offers suggestions for improving empirical analyses going forward that should help to resolve the debate.</w:t>
      </w:r>
      <w:r w:rsidR="00DF0A04" w:rsidRPr="005E6068">
        <w:rPr>
          <w:rFonts w:cs="Times New Roman PS"/>
          <w:i/>
          <w:noProof w:val="0"/>
        </w:rPr>
        <w:t xml:space="preserve"> </w:t>
      </w:r>
      <w:r w:rsidRPr="005E6068">
        <w:rPr>
          <w:rFonts w:cs="Times New Roman PS"/>
          <w:i/>
          <w:noProof w:val="0"/>
        </w:rPr>
        <w:t xml:space="preserve">If, however, as this </w:t>
      </w:r>
      <w:r w:rsidR="00D50C91">
        <w:rPr>
          <w:rFonts w:cs="Times New Roman PS"/>
          <w:i/>
          <w:noProof w:val="0"/>
        </w:rPr>
        <w:t>Article</w:t>
      </w:r>
      <w:r w:rsidRPr="005E6068">
        <w:rPr>
          <w:rFonts w:cs="Times New Roman PS"/>
          <w:i/>
          <w:noProof w:val="0"/>
        </w:rPr>
        <w:t xml:space="preserve"> argues, executive pay design is an implausible mechanism, this determination tends to undermine the broader claim that common ownership dampens interfirm competition.</w:t>
      </w:r>
    </w:p>
    <w:p w14:paraId="53137C87" w14:textId="0AC74B66" w:rsidR="00EA52F8" w:rsidRDefault="00EA52F8" w:rsidP="001B39BE">
      <w:pPr>
        <w:pStyle w:val="SubHead1"/>
        <w:widowControl/>
      </w:pPr>
      <w:bookmarkStart w:id="2" w:name="_Toc23780662"/>
      <w:bookmarkEnd w:id="1"/>
      <w:r>
        <w:lastRenderedPageBreak/>
        <w:t>Contents</w:t>
      </w:r>
      <w:bookmarkEnd w:id="2"/>
    </w:p>
    <w:p w14:paraId="2B8A9C7B" w14:textId="222DE2E3" w:rsidR="00EA52F8" w:rsidRDefault="00EA52F8" w:rsidP="001B39BE">
      <w:pPr>
        <w:pStyle w:val="TOC10"/>
        <w:rPr>
          <w:rFonts w:asciiTheme="minorHAnsi" w:eastAsiaTheme="minorEastAsia" w:hAnsiTheme="minorHAnsi" w:cstheme="minorBidi"/>
          <w:smallCaps w:val="0"/>
          <w:sz w:val="22"/>
          <w:szCs w:val="22"/>
        </w:rPr>
      </w:pPr>
      <w:r>
        <w:fldChar w:fldCharType="begin"/>
      </w:r>
      <w:r>
        <w:instrText xml:space="preserve"> TOC \o "1-5" \t "_SubHead1,1,_SubHead1-RomanNum,1,_SubHead2,2,_SubHead3,3,_SubHead4,4,_SubHead5,5,_SubHead6,6" </w:instrText>
      </w:r>
      <w:r>
        <w:fldChar w:fldCharType="separate"/>
      </w:r>
      <w:r>
        <w:t>Introduction</w:t>
      </w:r>
      <w:r>
        <w:tab/>
      </w:r>
      <w:r>
        <w:fldChar w:fldCharType="begin"/>
      </w:r>
      <w:r>
        <w:instrText xml:space="preserve"> PAGEREF _Toc23780663 \h </w:instrText>
      </w:r>
      <w:r>
        <w:fldChar w:fldCharType="separate"/>
      </w:r>
      <w:r w:rsidR="00ED7BD9">
        <w:t>2375</w:t>
      </w:r>
      <w:r>
        <w:fldChar w:fldCharType="end"/>
      </w:r>
    </w:p>
    <w:p w14:paraId="7FA1EB01" w14:textId="3E6D59A3" w:rsidR="00EA52F8" w:rsidRDefault="00EA52F8" w:rsidP="001B39BE">
      <w:pPr>
        <w:pStyle w:val="TOC10"/>
        <w:rPr>
          <w:rFonts w:asciiTheme="minorHAnsi" w:eastAsiaTheme="minorEastAsia" w:hAnsiTheme="minorHAnsi" w:cstheme="minorBidi"/>
          <w:smallCaps w:val="0"/>
          <w:sz w:val="22"/>
          <w:szCs w:val="22"/>
        </w:rPr>
      </w:pPr>
      <w:r>
        <w:tab/>
        <w:t>I.</w:t>
      </w:r>
      <w:r>
        <w:rPr>
          <w:rFonts w:asciiTheme="minorHAnsi" w:eastAsiaTheme="minorEastAsia" w:hAnsiTheme="minorHAnsi" w:cstheme="minorBidi"/>
          <w:smallCaps w:val="0"/>
          <w:sz w:val="22"/>
          <w:szCs w:val="22"/>
        </w:rPr>
        <w:tab/>
      </w:r>
      <w:r>
        <w:t>The Common Ownership and Competition Debate</w:t>
      </w:r>
      <w:r>
        <w:tab/>
      </w:r>
      <w:r>
        <w:fldChar w:fldCharType="begin"/>
      </w:r>
      <w:r>
        <w:instrText xml:space="preserve"> PAGEREF _Toc23780664 \h </w:instrText>
      </w:r>
      <w:r>
        <w:fldChar w:fldCharType="separate"/>
      </w:r>
      <w:r w:rsidR="00ED7BD9">
        <w:t>2378</w:t>
      </w:r>
      <w:r>
        <w:fldChar w:fldCharType="end"/>
      </w:r>
    </w:p>
    <w:p w14:paraId="01C17AC8" w14:textId="24C7E15D" w:rsidR="00EA52F8" w:rsidRDefault="00EA52F8" w:rsidP="001B39BE">
      <w:pPr>
        <w:pStyle w:val="TOC10"/>
        <w:rPr>
          <w:rFonts w:asciiTheme="minorHAnsi" w:eastAsiaTheme="minorEastAsia" w:hAnsiTheme="minorHAnsi" w:cstheme="minorBidi"/>
          <w:smallCaps w:val="0"/>
          <w:sz w:val="22"/>
          <w:szCs w:val="22"/>
        </w:rPr>
      </w:pPr>
      <w:r>
        <w:tab/>
        <w:t>II.</w:t>
      </w:r>
      <w:r>
        <w:rPr>
          <w:rFonts w:asciiTheme="minorHAnsi" w:eastAsiaTheme="minorEastAsia" w:hAnsiTheme="minorHAnsi" w:cstheme="minorBidi"/>
          <w:smallCaps w:val="0"/>
          <w:sz w:val="22"/>
          <w:szCs w:val="22"/>
        </w:rPr>
        <w:tab/>
      </w:r>
      <w:r>
        <w:t>Relative Performance Evaluation and Common</w:t>
      </w:r>
      <w:r>
        <w:br/>
        <w:t>Ownership</w:t>
      </w:r>
      <w:r>
        <w:tab/>
      </w:r>
      <w:r>
        <w:fldChar w:fldCharType="begin"/>
      </w:r>
      <w:r>
        <w:instrText xml:space="preserve"> PAGEREF _Toc23780665 \h </w:instrText>
      </w:r>
      <w:r>
        <w:fldChar w:fldCharType="separate"/>
      </w:r>
      <w:r w:rsidR="00ED7BD9">
        <w:t>2383</w:t>
      </w:r>
      <w:r>
        <w:fldChar w:fldCharType="end"/>
      </w:r>
    </w:p>
    <w:p w14:paraId="768FF00B" w14:textId="3D97873F" w:rsidR="00EA52F8" w:rsidRDefault="00EA52F8" w:rsidP="001B39BE">
      <w:pPr>
        <w:pStyle w:val="TOC20"/>
        <w:rPr>
          <w:rFonts w:asciiTheme="minorHAnsi" w:eastAsiaTheme="minorEastAsia" w:hAnsiTheme="minorHAnsi" w:cstheme="minorBidi"/>
          <w:i w:val="0"/>
          <w:sz w:val="22"/>
          <w:szCs w:val="22"/>
        </w:rPr>
      </w:pPr>
      <w:r w:rsidRPr="007F5EC9">
        <w:rPr>
          <w:i w:val="0"/>
        </w:rPr>
        <w:t>A.</w:t>
      </w:r>
      <w:r>
        <w:rPr>
          <w:rFonts w:asciiTheme="minorHAnsi" w:eastAsiaTheme="minorEastAsia" w:hAnsiTheme="minorHAnsi" w:cstheme="minorBidi"/>
          <w:i w:val="0"/>
          <w:sz w:val="22"/>
          <w:szCs w:val="22"/>
        </w:rPr>
        <w:tab/>
      </w:r>
      <w:r>
        <w:t>A Primer on RPE</w:t>
      </w:r>
      <w:r w:rsidRPr="00EA52F8">
        <w:rPr>
          <w:i w:val="0"/>
        </w:rPr>
        <w:tab/>
      </w:r>
      <w:r w:rsidRPr="00EA52F8">
        <w:rPr>
          <w:i w:val="0"/>
        </w:rPr>
        <w:fldChar w:fldCharType="begin"/>
      </w:r>
      <w:r w:rsidRPr="00EA52F8">
        <w:rPr>
          <w:i w:val="0"/>
        </w:rPr>
        <w:instrText xml:space="preserve"> PAGEREF _Toc23780666 \h </w:instrText>
      </w:r>
      <w:r w:rsidRPr="00EA52F8">
        <w:rPr>
          <w:i w:val="0"/>
        </w:rPr>
      </w:r>
      <w:r w:rsidRPr="00EA52F8">
        <w:rPr>
          <w:i w:val="0"/>
        </w:rPr>
        <w:fldChar w:fldCharType="separate"/>
      </w:r>
      <w:r w:rsidR="00ED7BD9">
        <w:rPr>
          <w:i w:val="0"/>
        </w:rPr>
        <w:t>2383</w:t>
      </w:r>
      <w:r w:rsidRPr="00EA52F8">
        <w:rPr>
          <w:i w:val="0"/>
        </w:rPr>
        <w:fldChar w:fldCharType="end"/>
      </w:r>
    </w:p>
    <w:p w14:paraId="0AF8C858" w14:textId="35CD47A3" w:rsidR="00EA52F8" w:rsidRDefault="00EA52F8" w:rsidP="001B39BE">
      <w:pPr>
        <w:pStyle w:val="TOC20"/>
        <w:rPr>
          <w:rFonts w:asciiTheme="minorHAnsi" w:eastAsiaTheme="minorEastAsia" w:hAnsiTheme="minorHAnsi" w:cstheme="minorBidi"/>
          <w:i w:val="0"/>
          <w:sz w:val="22"/>
          <w:szCs w:val="22"/>
        </w:rPr>
      </w:pPr>
      <w:r w:rsidRPr="007F5EC9">
        <w:rPr>
          <w:i w:val="0"/>
        </w:rPr>
        <w:t>B.</w:t>
      </w:r>
      <w:r>
        <w:rPr>
          <w:rFonts w:asciiTheme="minorHAnsi" w:eastAsiaTheme="minorEastAsia" w:hAnsiTheme="minorHAnsi" w:cstheme="minorBidi"/>
          <w:i w:val="0"/>
          <w:sz w:val="22"/>
          <w:szCs w:val="22"/>
        </w:rPr>
        <w:tab/>
      </w:r>
      <w:r>
        <w:t>The Use of RPE in Executive Pay Contracts</w:t>
      </w:r>
      <w:r w:rsidRPr="00EA52F8">
        <w:rPr>
          <w:i w:val="0"/>
        </w:rPr>
        <w:tab/>
      </w:r>
      <w:r w:rsidRPr="00EA52F8">
        <w:rPr>
          <w:i w:val="0"/>
        </w:rPr>
        <w:fldChar w:fldCharType="begin"/>
      </w:r>
      <w:r w:rsidRPr="00EA52F8">
        <w:rPr>
          <w:i w:val="0"/>
        </w:rPr>
        <w:instrText xml:space="preserve"> PAGEREF _Toc23780667 \h </w:instrText>
      </w:r>
      <w:r w:rsidRPr="00EA52F8">
        <w:rPr>
          <w:i w:val="0"/>
        </w:rPr>
      </w:r>
      <w:r w:rsidRPr="00EA52F8">
        <w:rPr>
          <w:i w:val="0"/>
        </w:rPr>
        <w:fldChar w:fldCharType="separate"/>
      </w:r>
      <w:r w:rsidR="00ED7BD9">
        <w:rPr>
          <w:i w:val="0"/>
        </w:rPr>
        <w:t>2384</w:t>
      </w:r>
      <w:r w:rsidRPr="00EA52F8">
        <w:rPr>
          <w:i w:val="0"/>
        </w:rPr>
        <w:fldChar w:fldCharType="end"/>
      </w:r>
    </w:p>
    <w:p w14:paraId="052A8335" w14:textId="45C3E8DC" w:rsidR="00EA52F8" w:rsidRDefault="00EA52F8" w:rsidP="001B39BE">
      <w:pPr>
        <w:pStyle w:val="TOC20"/>
        <w:rPr>
          <w:rFonts w:asciiTheme="minorHAnsi" w:eastAsiaTheme="minorEastAsia" w:hAnsiTheme="minorHAnsi" w:cstheme="minorBidi"/>
          <w:i w:val="0"/>
          <w:sz w:val="22"/>
          <w:szCs w:val="22"/>
        </w:rPr>
      </w:pPr>
      <w:r w:rsidRPr="007F5EC9">
        <w:rPr>
          <w:i w:val="0"/>
        </w:rPr>
        <w:t>C.</w:t>
      </w:r>
      <w:r>
        <w:rPr>
          <w:rFonts w:asciiTheme="minorHAnsi" w:eastAsiaTheme="minorEastAsia" w:hAnsiTheme="minorHAnsi" w:cstheme="minorBidi"/>
          <w:i w:val="0"/>
          <w:sz w:val="22"/>
          <w:szCs w:val="22"/>
        </w:rPr>
        <w:tab/>
      </w:r>
      <w:r>
        <w:t>Why Did Companies Embrace Explicit RPE in the</w:t>
      </w:r>
      <w:r>
        <w:br/>
        <w:t>2000s?</w:t>
      </w:r>
      <w:r w:rsidRPr="00EA52F8">
        <w:rPr>
          <w:i w:val="0"/>
        </w:rPr>
        <w:tab/>
      </w:r>
      <w:r w:rsidRPr="00EA52F8">
        <w:rPr>
          <w:i w:val="0"/>
        </w:rPr>
        <w:fldChar w:fldCharType="begin"/>
      </w:r>
      <w:r w:rsidRPr="00EA52F8">
        <w:rPr>
          <w:i w:val="0"/>
        </w:rPr>
        <w:instrText xml:space="preserve"> PAGEREF _Toc23780668 \h </w:instrText>
      </w:r>
      <w:r w:rsidRPr="00EA52F8">
        <w:rPr>
          <w:i w:val="0"/>
        </w:rPr>
      </w:r>
      <w:r w:rsidRPr="00EA52F8">
        <w:rPr>
          <w:i w:val="0"/>
        </w:rPr>
        <w:fldChar w:fldCharType="separate"/>
      </w:r>
      <w:r w:rsidR="00ED7BD9">
        <w:rPr>
          <w:i w:val="0"/>
        </w:rPr>
        <w:t>2389</w:t>
      </w:r>
      <w:r w:rsidRPr="00EA52F8">
        <w:rPr>
          <w:i w:val="0"/>
        </w:rPr>
        <w:fldChar w:fldCharType="end"/>
      </w:r>
    </w:p>
    <w:p w14:paraId="4AF83450" w14:textId="49895887" w:rsidR="00EA52F8" w:rsidRDefault="00EA52F8" w:rsidP="001B39BE">
      <w:pPr>
        <w:pStyle w:val="TOC20"/>
        <w:rPr>
          <w:rFonts w:asciiTheme="minorHAnsi" w:eastAsiaTheme="minorEastAsia" w:hAnsiTheme="minorHAnsi" w:cstheme="minorBidi"/>
          <w:i w:val="0"/>
          <w:sz w:val="22"/>
          <w:szCs w:val="22"/>
        </w:rPr>
      </w:pPr>
      <w:r w:rsidRPr="007F5EC9">
        <w:rPr>
          <w:i w:val="0"/>
        </w:rPr>
        <w:t>D.</w:t>
      </w:r>
      <w:r>
        <w:rPr>
          <w:rFonts w:asciiTheme="minorHAnsi" w:eastAsiaTheme="minorEastAsia" w:hAnsiTheme="minorHAnsi" w:cstheme="minorBidi"/>
          <w:i w:val="0"/>
          <w:sz w:val="22"/>
          <w:szCs w:val="22"/>
        </w:rPr>
        <w:tab/>
      </w:r>
      <w:r>
        <w:t>Avoidance of RPE Is Unlikely to Be a Mechanism by</w:t>
      </w:r>
      <w:r>
        <w:br/>
        <w:t>Which Common Owners Discourage Inter</w:t>
      </w:r>
      <w:r w:rsidR="003E5D2A">
        <w:t>f</w:t>
      </w:r>
      <w:r>
        <w:t>irm</w:t>
      </w:r>
      <w:r>
        <w:br/>
        <w:t>Competition</w:t>
      </w:r>
      <w:r w:rsidRPr="00EA52F8">
        <w:rPr>
          <w:i w:val="0"/>
        </w:rPr>
        <w:tab/>
      </w:r>
      <w:r w:rsidRPr="00EA52F8">
        <w:rPr>
          <w:i w:val="0"/>
        </w:rPr>
        <w:fldChar w:fldCharType="begin"/>
      </w:r>
      <w:r w:rsidRPr="00EA52F8">
        <w:rPr>
          <w:i w:val="0"/>
        </w:rPr>
        <w:instrText xml:space="preserve"> PAGEREF _Toc23780669 \h </w:instrText>
      </w:r>
      <w:r w:rsidRPr="00EA52F8">
        <w:rPr>
          <w:i w:val="0"/>
        </w:rPr>
      </w:r>
      <w:r w:rsidRPr="00EA52F8">
        <w:rPr>
          <w:i w:val="0"/>
        </w:rPr>
        <w:fldChar w:fldCharType="separate"/>
      </w:r>
      <w:r w:rsidR="00ED7BD9">
        <w:rPr>
          <w:i w:val="0"/>
        </w:rPr>
        <w:t>2392</w:t>
      </w:r>
      <w:r w:rsidRPr="00EA52F8">
        <w:rPr>
          <w:i w:val="0"/>
        </w:rPr>
        <w:fldChar w:fldCharType="end"/>
      </w:r>
    </w:p>
    <w:p w14:paraId="2EFBB369" w14:textId="2B0CFF5C" w:rsidR="00EA52F8" w:rsidRDefault="00EA52F8" w:rsidP="001B39BE">
      <w:pPr>
        <w:pStyle w:val="TOC20"/>
        <w:rPr>
          <w:rFonts w:asciiTheme="minorHAnsi" w:eastAsiaTheme="minorEastAsia" w:hAnsiTheme="minorHAnsi" w:cstheme="minorBidi"/>
          <w:i w:val="0"/>
          <w:sz w:val="22"/>
          <w:szCs w:val="22"/>
        </w:rPr>
      </w:pPr>
      <w:r w:rsidRPr="007F5EC9">
        <w:rPr>
          <w:i w:val="0"/>
        </w:rPr>
        <w:t>E.</w:t>
      </w:r>
      <w:r>
        <w:rPr>
          <w:rFonts w:asciiTheme="minorHAnsi" w:eastAsiaTheme="minorEastAsia" w:hAnsiTheme="minorHAnsi" w:cstheme="minorBidi"/>
          <w:i w:val="0"/>
          <w:sz w:val="22"/>
          <w:szCs w:val="22"/>
        </w:rPr>
        <w:tab/>
      </w:r>
      <w:r>
        <w:t>A New Challenge to the Empirical Evidence on the</w:t>
      </w:r>
      <w:r>
        <w:br/>
        <w:t>Association Between Common Ownership and the Use</w:t>
      </w:r>
      <w:r>
        <w:br/>
        <w:t>of RPE</w:t>
      </w:r>
      <w:r w:rsidRPr="00EA52F8">
        <w:rPr>
          <w:i w:val="0"/>
        </w:rPr>
        <w:tab/>
      </w:r>
      <w:r w:rsidRPr="00EA52F8">
        <w:rPr>
          <w:i w:val="0"/>
        </w:rPr>
        <w:fldChar w:fldCharType="begin"/>
      </w:r>
      <w:r w:rsidRPr="00EA52F8">
        <w:rPr>
          <w:i w:val="0"/>
        </w:rPr>
        <w:instrText xml:space="preserve"> PAGEREF _Toc23780670 \h </w:instrText>
      </w:r>
      <w:r w:rsidRPr="00EA52F8">
        <w:rPr>
          <w:i w:val="0"/>
        </w:rPr>
      </w:r>
      <w:r w:rsidRPr="00EA52F8">
        <w:rPr>
          <w:i w:val="0"/>
        </w:rPr>
        <w:fldChar w:fldCharType="separate"/>
      </w:r>
      <w:r w:rsidR="00ED7BD9">
        <w:rPr>
          <w:i w:val="0"/>
        </w:rPr>
        <w:t>2395</w:t>
      </w:r>
      <w:r w:rsidRPr="00EA52F8">
        <w:rPr>
          <w:i w:val="0"/>
        </w:rPr>
        <w:fldChar w:fldCharType="end"/>
      </w:r>
    </w:p>
    <w:p w14:paraId="091E8E87" w14:textId="0C901F7C" w:rsidR="00EA52F8" w:rsidRDefault="00EA52F8" w:rsidP="001B39BE">
      <w:pPr>
        <w:pStyle w:val="TOC10"/>
        <w:rPr>
          <w:rFonts w:asciiTheme="minorHAnsi" w:eastAsiaTheme="minorEastAsia" w:hAnsiTheme="minorHAnsi" w:cstheme="minorBidi"/>
          <w:smallCaps w:val="0"/>
          <w:sz w:val="22"/>
          <w:szCs w:val="22"/>
        </w:rPr>
      </w:pPr>
      <w:r>
        <w:tab/>
        <w:t>III.</w:t>
      </w:r>
      <w:r>
        <w:rPr>
          <w:rFonts w:asciiTheme="minorHAnsi" w:eastAsiaTheme="minorEastAsia" w:hAnsiTheme="minorHAnsi" w:cstheme="minorBidi"/>
          <w:smallCaps w:val="0"/>
          <w:sz w:val="22"/>
          <w:szCs w:val="22"/>
        </w:rPr>
        <w:tab/>
      </w:r>
      <w:r>
        <w:t>Common Ownership and the Sensitivity of</w:t>
      </w:r>
      <w:r>
        <w:br/>
        <w:t>Executive Wealth to Own-Firm Performance</w:t>
      </w:r>
      <w:r>
        <w:tab/>
      </w:r>
      <w:r>
        <w:fldChar w:fldCharType="begin"/>
      </w:r>
      <w:r>
        <w:instrText xml:space="preserve"> PAGEREF _Toc23780671 \h </w:instrText>
      </w:r>
      <w:r>
        <w:fldChar w:fldCharType="separate"/>
      </w:r>
      <w:r w:rsidR="00ED7BD9">
        <w:t>2399</w:t>
      </w:r>
      <w:r>
        <w:fldChar w:fldCharType="end"/>
      </w:r>
    </w:p>
    <w:p w14:paraId="744E7A2D" w14:textId="7E30F13F" w:rsidR="00EA52F8" w:rsidRDefault="00EA52F8" w:rsidP="001B39BE">
      <w:pPr>
        <w:pStyle w:val="TOC20"/>
        <w:rPr>
          <w:rFonts w:asciiTheme="minorHAnsi" w:eastAsiaTheme="minorEastAsia" w:hAnsiTheme="minorHAnsi" w:cstheme="minorBidi"/>
          <w:i w:val="0"/>
          <w:sz w:val="22"/>
          <w:szCs w:val="22"/>
        </w:rPr>
      </w:pPr>
      <w:r w:rsidRPr="007F5EC9">
        <w:rPr>
          <w:i w:val="0"/>
        </w:rPr>
        <w:t>A.</w:t>
      </w:r>
      <w:r>
        <w:rPr>
          <w:rFonts w:asciiTheme="minorHAnsi" w:eastAsiaTheme="minorEastAsia" w:hAnsiTheme="minorHAnsi" w:cstheme="minorBidi"/>
          <w:i w:val="0"/>
          <w:sz w:val="22"/>
          <w:szCs w:val="22"/>
        </w:rPr>
        <w:tab/>
      </w:r>
      <w:r>
        <w:t>The Revised AEGS Approach in Detail</w:t>
      </w:r>
      <w:r w:rsidRPr="00EA52F8">
        <w:rPr>
          <w:i w:val="0"/>
        </w:rPr>
        <w:tab/>
      </w:r>
      <w:r w:rsidRPr="00EA52F8">
        <w:rPr>
          <w:i w:val="0"/>
        </w:rPr>
        <w:fldChar w:fldCharType="begin"/>
      </w:r>
      <w:r w:rsidRPr="00EA52F8">
        <w:rPr>
          <w:i w:val="0"/>
        </w:rPr>
        <w:instrText xml:space="preserve"> PAGEREF _Toc23780672 \h </w:instrText>
      </w:r>
      <w:r w:rsidRPr="00EA52F8">
        <w:rPr>
          <w:i w:val="0"/>
        </w:rPr>
      </w:r>
      <w:r w:rsidRPr="00EA52F8">
        <w:rPr>
          <w:i w:val="0"/>
        </w:rPr>
        <w:fldChar w:fldCharType="separate"/>
      </w:r>
      <w:r w:rsidR="00ED7BD9">
        <w:rPr>
          <w:i w:val="0"/>
        </w:rPr>
        <w:t>2399</w:t>
      </w:r>
      <w:r w:rsidRPr="00EA52F8">
        <w:rPr>
          <w:i w:val="0"/>
        </w:rPr>
        <w:fldChar w:fldCharType="end"/>
      </w:r>
    </w:p>
    <w:p w14:paraId="01B205D7" w14:textId="4B99D2A3" w:rsidR="00EA52F8" w:rsidRDefault="00EA52F8" w:rsidP="001B39BE">
      <w:pPr>
        <w:pStyle w:val="TOC20"/>
        <w:rPr>
          <w:rFonts w:asciiTheme="minorHAnsi" w:eastAsiaTheme="minorEastAsia" w:hAnsiTheme="minorHAnsi" w:cstheme="minorBidi"/>
          <w:i w:val="0"/>
          <w:sz w:val="22"/>
          <w:szCs w:val="22"/>
        </w:rPr>
      </w:pPr>
      <w:r w:rsidRPr="007F5EC9">
        <w:rPr>
          <w:i w:val="0"/>
        </w:rPr>
        <w:t>B.</w:t>
      </w:r>
      <w:r>
        <w:rPr>
          <w:rFonts w:asciiTheme="minorHAnsi" w:eastAsiaTheme="minorEastAsia" w:hAnsiTheme="minorHAnsi" w:cstheme="minorBidi"/>
          <w:i w:val="0"/>
          <w:sz w:val="22"/>
          <w:szCs w:val="22"/>
        </w:rPr>
        <w:tab/>
      </w:r>
      <w:r>
        <w:t>Concerns with the Revised AEGS Approach</w:t>
      </w:r>
      <w:r w:rsidRPr="00EA52F8">
        <w:rPr>
          <w:i w:val="0"/>
        </w:rPr>
        <w:tab/>
      </w:r>
      <w:r w:rsidRPr="00EA52F8">
        <w:rPr>
          <w:i w:val="0"/>
        </w:rPr>
        <w:fldChar w:fldCharType="begin"/>
      </w:r>
      <w:r w:rsidRPr="00EA52F8">
        <w:rPr>
          <w:i w:val="0"/>
        </w:rPr>
        <w:instrText xml:space="preserve"> PAGEREF _Toc23780673 \h </w:instrText>
      </w:r>
      <w:r w:rsidRPr="00EA52F8">
        <w:rPr>
          <w:i w:val="0"/>
        </w:rPr>
      </w:r>
      <w:r w:rsidRPr="00EA52F8">
        <w:rPr>
          <w:i w:val="0"/>
        </w:rPr>
        <w:fldChar w:fldCharType="separate"/>
      </w:r>
      <w:r w:rsidR="00ED7BD9">
        <w:rPr>
          <w:i w:val="0"/>
        </w:rPr>
        <w:t>2400</w:t>
      </w:r>
      <w:r w:rsidRPr="00EA52F8">
        <w:rPr>
          <w:i w:val="0"/>
        </w:rPr>
        <w:fldChar w:fldCharType="end"/>
      </w:r>
    </w:p>
    <w:p w14:paraId="2596B564" w14:textId="1B71E68F" w:rsidR="00EA52F8" w:rsidRDefault="00EA52F8" w:rsidP="001B39BE">
      <w:pPr>
        <w:pStyle w:val="TOC30"/>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Low WPS Is Inconsistent with Common</w:t>
      </w:r>
      <w:r w:rsidR="000B7FC4">
        <w:t>-</w:t>
      </w:r>
      <w:r>
        <w:t>Owner Preferences</w:t>
      </w:r>
      <w:r>
        <w:tab/>
      </w:r>
      <w:r>
        <w:fldChar w:fldCharType="begin"/>
      </w:r>
      <w:r>
        <w:instrText xml:space="preserve"> PAGEREF _Toc23780674 \h </w:instrText>
      </w:r>
      <w:r>
        <w:fldChar w:fldCharType="separate"/>
      </w:r>
      <w:r w:rsidR="00ED7BD9">
        <w:t>2401</w:t>
      </w:r>
      <w:r>
        <w:fldChar w:fldCharType="end"/>
      </w:r>
    </w:p>
    <w:p w14:paraId="21B97E38" w14:textId="48ACABD7" w:rsidR="00EA52F8" w:rsidRDefault="00EA52F8" w:rsidP="001B39BE">
      <w:pPr>
        <w:pStyle w:val="TOC3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Executive WPS Is Difficult to Adjust over the Short</w:t>
      </w:r>
      <w:r>
        <w:br/>
        <w:t>to Medium Term</w:t>
      </w:r>
      <w:r>
        <w:tab/>
      </w:r>
      <w:r>
        <w:fldChar w:fldCharType="begin"/>
      </w:r>
      <w:r>
        <w:instrText xml:space="preserve"> PAGEREF _Toc23780675 \h </w:instrText>
      </w:r>
      <w:r>
        <w:fldChar w:fldCharType="separate"/>
      </w:r>
      <w:r w:rsidR="00ED7BD9">
        <w:t>2403</w:t>
      </w:r>
      <w:r>
        <w:fldChar w:fldCharType="end"/>
      </w:r>
    </w:p>
    <w:p w14:paraId="642C005C" w14:textId="4C5A2964" w:rsidR="00EA52F8" w:rsidRDefault="00EA52F8" w:rsidP="001B39BE">
      <w:pPr>
        <w:pStyle w:val="TOC40"/>
        <w:rPr>
          <w:rFonts w:asciiTheme="minorHAnsi" w:eastAsiaTheme="minorEastAsia" w:hAnsiTheme="minorHAnsi" w:cstheme="minorBidi"/>
          <w:i w:val="0"/>
          <w:sz w:val="22"/>
          <w:szCs w:val="22"/>
        </w:rPr>
      </w:pPr>
      <w:r w:rsidRPr="007F5EC9">
        <w:rPr>
          <w:i w:val="0"/>
        </w:rPr>
        <w:t>a.</w:t>
      </w:r>
      <w:r>
        <w:rPr>
          <w:rFonts w:asciiTheme="minorHAnsi" w:eastAsiaTheme="minorEastAsia" w:hAnsiTheme="minorHAnsi" w:cstheme="minorBidi"/>
          <w:i w:val="0"/>
          <w:sz w:val="22"/>
          <w:szCs w:val="22"/>
        </w:rPr>
        <w:tab/>
      </w:r>
      <w:r>
        <w:t>Adjusting WPS Through Current Compensation</w:t>
      </w:r>
      <w:r w:rsidRPr="00EA52F8">
        <w:rPr>
          <w:i w:val="0"/>
        </w:rPr>
        <w:tab/>
      </w:r>
      <w:r w:rsidRPr="00EA52F8">
        <w:rPr>
          <w:i w:val="0"/>
        </w:rPr>
        <w:fldChar w:fldCharType="begin"/>
      </w:r>
      <w:r w:rsidRPr="00EA52F8">
        <w:rPr>
          <w:i w:val="0"/>
        </w:rPr>
        <w:instrText xml:space="preserve"> PAGEREF _Toc23780676 \h </w:instrText>
      </w:r>
      <w:r w:rsidRPr="00EA52F8">
        <w:rPr>
          <w:i w:val="0"/>
        </w:rPr>
      </w:r>
      <w:r w:rsidRPr="00EA52F8">
        <w:rPr>
          <w:i w:val="0"/>
        </w:rPr>
        <w:fldChar w:fldCharType="separate"/>
      </w:r>
      <w:r w:rsidR="00ED7BD9">
        <w:rPr>
          <w:i w:val="0"/>
        </w:rPr>
        <w:t>2404</w:t>
      </w:r>
      <w:r w:rsidRPr="00EA52F8">
        <w:rPr>
          <w:i w:val="0"/>
        </w:rPr>
        <w:fldChar w:fldCharType="end"/>
      </w:r>
    </w:p>
    <w:p w14:paraId="0716B758" w14:textId="334A8C88" w:rsidR="00EA52F8" w:rsidRDefault="00EA52F8" w:rsidP="001B39BE">
      <w:pPr>
        <w:pStyle w:val="TOC40"/>
        <w:rPr>
          <w:rFonts w:asciiTheme="minorHAnsi" w:eastAsiaTheme="minorEastAsia" w:hAnsiTheme="minorHAnsi" w:cstheme="minorBidi"/>
          <w:i w:val="0"/>
          <w:sz w:val="22"/>
          <w:szCs w:val="22"/>
        </w:rPr>
      </w:pPr>
      <w:r w:rsidRPr="007F5EC9">
        <w:rPr>
          <w:i w:val="0"/>
        </w:rPr>
        <w:t>b.</w:t>
      </w:r>
      <w:r>
        <w:rPr>
          <w:rFonts w:asciiTheme="minorHAnsi" w:eastAsiaTheme="minorEastAsia" w:hAnsiTheme="minorHAnsi" w:cstheme="minorBidi"/>
          <w:i w:val="0"/>
          <w:sz w:val="22"/>
          <w:szCs w:val="22"/>
        </w:rPr>
        <w:tab/>
      </w:r>
      <w:r>
        <w:t>Adjusting WPS Through Previously</w:t>
      </w:r>
      <w:r w:rsidR="00532C48">
        <w:t xml:space="preserve"> </w:t>
      </w:r>
      <w:r>
        <w:t>Issued Compensation</w:t>
      </w:r>
      <w:r w:rsidRPr="00EA52F8">
        <w:rPr>
          <w:i w:val="0"/>
        </w:rPr>
        <w:tab/>
      </w:r>
      <w:r w:rsidRPr="00EA52F8">
        <w:rPr>
          <w:i w:val="0"/>
        </w:rPr>
        <w:fldChar w:fldCharType="begin"/>
      </w:r>
      <w:r w:rsidRPr="00EA52F8">
        <w:rPr>
          <w:i w:val="0"/>
        </w:rPr>
        <w:instrText xml:space="preserve"> PAGEREF _Toc23780677 \h </w:instrText>
      </w:r>
      <w:r w:rsidRPr="00EA52F8">
        <w:rPr>
          <w:i w:val="0"/>
        </w:rPr>
      </w:r>
      <w:r w:rsidRPr="00EA52F8">
        <w:rPr>
          <w:i w:val="0"/>
        </w:rPr>
        <w:fldChar w:fldCharType="separate"/>
      </w:r>
      <w:r w:rsidR="00ED7BD9">
        <w:rPr>
          <w:i w:val="0"/>
        </w:rPr>
        <w:t>2407</w:t>
      </w:r>
      <w:r w:rsidRPr="00EA52F8">
        <w:rPr>
          <w:i w:val="0"/>
        </w:rPr>
        <w:fldChar w:fldCharType="end"/>
      </w:r>
    </w:p>
    <w:p w14:paraId="0D84705B" w14:textId="25A0F6A6" w:rsidR="00EA52F8" w:rsidRDefault="00EA52F8" w:rsidP="001B39BE">
      <w:pPr>
        <w:pStyle w:val="TOC40"/>
        <w:rPr>
          <w:rFonts w:asciiTheme="minorHAnsi" w:eastAsiaTheme="minorEastAsia" w:hAnsiTheme="minorHAnsi" w:cstheme="minorBidi"/>
          <w:i w:val="0"/>
          <w:sz w:val="22"/>
          <w:szCs w:val="22"/>
        </w:rPr>
      </w:pPr>
      <w:r w:rsidRPr="007F5EC9">
        <w:rPr>
          <w:i w:val="0"/>
        </w:rPr>
        <w:t>c.</w:t>
      </w:r>
      <w:r>
        <w:rPr>
          <w:rFonts w:asciiTheme="minorHAnsi" w:eastAsiaTheme="minorEastAsia" w:hAnsiTheme="minorHAnsi" w:cstheme="minorBidi"/>
          <w:i w:val="0"/>
          <w:sz w:val="22"/>
          <w:szCs w:val="22"/>
        </w:rPr>
        <w:tab/>
      </w:r>
      <w:r>
        <w:t>Adjusting WPS Associated with Vested Stock</w:t>
      </w:r>
      <w:r w:rsidRPr="00EA52F8">
        <w:rPr>
          <w:i w:val="0"/>
        </w:rPr>
        <w:tab/>
      </w:r>
      <w:r w:rsidRPr="00EA52F8">
        <w:rPr>
          <w:i w:val="0"/>
        </w:rPr>
        <w:fldChar w:fldCharType="begin"/>
      </w:r>
      <w:r w:rsidRPr="00EA52F8">
        <w:rPr>
          <w:i w:val="0"/>
        </w:rPr>
        <w:instrText xml:space="preserve"> PAGEREF _Toc23780678 \h </w:instrText>
      </w:r>
      <w:r w:rsidRPr="00EA52F8">
        <w:rPr>
          <w:i w:val="0"/>
        </w:rPr>
      </w:r>
      <w:r w:rsidRPr="00EA52F8">
        <w:rPr>
          <w:i w:val="0"/>
        </w:rPr>
        <w:fldChar w:fldCharType="separate"/>
      </w:r>
      <w:r w:rsidR="00ED7BD9">
        <w:rPr>
          <w:i w:val="0"/>
        </w:rPr>
        <w:t>2407</w:t>
      </w:r>
      <w:r w:rsidRPr="00EA52F8">
        <w:rPr>
          <w:i w:val="0"/>
        </w:rPr>
        <w:fldChar w:fldCharType="end"/>
      </w:r>
    </w:p>
    <w:p w14:paraId="2CD70E2E" w14:textId="7B65207E" w:rsidR="00EA52F8" w:rsidRDefault="00EA52F8" w:rsidP="001B39BE">
      <w:pPr>
        <w:pStyle w:val="TOC3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Methodological Concerns with a WPS-Based</w:t>
      </w:r>
      <w:r>
        <w:br/>
        <w:t>Assessment of Incentives</w:t>
      </w:r>
      <w:r>
        <w:tab/>
      </w:r>
      <w:r>
        <w:fldChar w:fldCharType="begin"/>
      </w:r>
      <w:r>
        <w:instrText xml:space="preserve"> PAGEREF _Toc23780679 \h </w:instrText>
      </w:r>
      <w:r>
        <w:fldChar w:fldCharType="separate"/>
      </w:r>
      <w:r w:rsidR="00ED7BD9">
        <w:t>2409</w:t>
      </w:r>
      <w:r>
        <w:fldChar w:fldCharType="end"/>
      </w:r>
    </w:p>
    <w:p w14:paraId="5147BA40" w14:textId="18FD0A8F" w:rsidR="00EA52F8" w:rsidRDefault="00EA52F8" w:rsidP="001B39BE">
      <w:pPr>
        <w:pStyle w:val="TOC10"/>
        <w:rPr>
          <w:rFonts w:asciiTheme="minorHAnsi" w:eastAsiaTheme="minorEastAsia" w:hAnsiTheme="minorHAnsi" w:cstheme="minorBidi"/>
          <w:smallCaps w:val="0"/>
          <w:sz w:val="22"/>
          <w:szCs w:val="22"/>
        </w:rPr>
      </w:pPr>
      <w:r>
        <w:tab/>
        <w:t>IV.</w:t>
      </w:r>
      <w:r>
        <w:rPr>
          <w:rFonts w:asciiTheme="minorHAnsi" w:eastAsiaTheme="minorEastAsia" w:hAnsiTheme="minorHAnsi" w:cstheme="minorBidi"/>
          <w:smallCaps w:val="0"/>
          <w:sz w:val="22"/>
          <w:szCs w:val="22"/>
        </w:rPr>
        <w:tab/>
      </w:r>
      <w:r>
        <w:t>Toward an Improved Empirical Strategy</w:t>
      </w:r>
      <w:r>
        <w:tab/>
      </w:r>
      <w:r>
        <w:fldChar w:fldCharType="begin"/>
      </w:r>
      <w:r>
        <w:instrText xml:space="preserve"> PAGEREF _Toc23780680 \h </w:instrText>
      </w:r>
      <w:r>
        <w:fldChar w:fldCharType="separate"/>
      </w:r>
      <w:r w:rsidR="00ED7BD9">
        <w:t>2411</w:t>
      </w:r>
      <w:r>
        <w:fldChar w:fldCharType="end"/>
      </w:r>
    </w:p>
    <w:p w14:paraId="47C1044A" w14:textId="6BDCC540" w:rsidR="00EA52F8" w:rsidRDefault="00EA52F8" w:rsidP="001B39BE">
      <w:pPr>
        <w:pStyle w:val="TOC10"/>
        <w:rPr>
          <w:rFonts w:asciiTheme="minorHAnsi" w:eastAsiaTheme="minorEastAsia" w:hAnsiTheme="minorHAnsi" w:cstheme="minorBidi"/>
          <w:smallCaps w:val="0"/>
          <w:sz w:val="22"/>
          <w:szCs w:val="22"/>
        </w:rPr>
      </w:pPr>
      <w:r>
        <w:t>Conclusion</w:t>
      </w:r>
      <w:r>
        <w:tab/>
      </w:r>
      <w:r>
        <w:fldChar w:fldCharType="begin"/>
      </w:r>
      <w:r>
        <w:instrText xml:space="preserve"> PAGEREF _Toc23780681 \h </w:instrText>
      </w:r>
      <w:r>
        <w:fldChar w:fldCharType="separate"/>
      </w:r>
      <w:r w:rsidR="00ED7BD9">
        <w:t>2412</w:t>
      </w:r>
      <w:r>
        <w:fldChar w:fldCharType="end"/>
      </w:r>
    </w:p>
    <w:p w14:paraId="1AA4364A" w14:textId="1339A375" w:rsidR="00EA52F8" w:rsidRDefault="00EA52F8" w:rsidP="001B39BE">
      <w:pPr>
        <w:pStyle w:val="Document"/>
        <w:ind w:firstLine="0"/>
      </w:pPr>
      <w:r>
        <w:fldChar w:fldCharType="end"/>
      </w:r>
    </w:p>
    <w:p w14:paraId="254073F5" w14:textId="3D450108" w:rsidR="00EA52F8" w:rsidRDefault="00EA52F8" w:rsidP="001B39BE">
      <w:pPr>
        <w:pStyle w:val="Document"/>
        <w:ind w:firstLine="0"/>
      </w:pPr>
    </w:p>
    <w:p w14:paraId="1B455EA9" w14:textId="2091254E" w:rsidR="00EA52F8" w:rsidRDefault="00EA52F8" w:rsidP="001B39BE">
      <w:pPr>
        <w:pStyle w:val="Document"/>
        <w:ind w:firstLine="0"/>
      </w:pPr>
      <w:bookmarkStart w:id="3" w:name="_GoBack"/>
      <w:bookmarkEnd w:id="3"/>
    </w:p>
    <w:p w14:paraId="7B50DEB3" w14:textId="229272C3" w:rsidR="00EA52F8" w:rsidRDefault="00EA52F8" w:rsidP="001B39BE">
      <w:pPr>
        <w:pStyle w:val="Document"/>
        <w:ind w:firstLine="0"/>
      </w:pPr>
    </w:p>
    <w:p w14:paraId="67496B5E" w14:textId="1B77C6DE" w:rsidR="00EA52F8" w:rsidRDefault="00EA52F8" w:rsidP="001B39BE">
      <w:pPr>
        <w:pStyle w:val="Document"/>
        <w:ind w:firstLine="0"/>
      </w:pPr>
    </w:p>
    <w:p w14:paraId="5D14E7FF" w14:textId="4EA7C5C7" w:rsidR="00EA52F8" w:rsidRDefault="00EA52F8" w:rsidP="001B39BE">
      <w:pPr>
        <w:pStyle w:val="Document"/>
        <w:ind w:firstLine="0"/>
      </w:pPr>
    </w:p>
    <w:p w14:paraId="155B3C89" w14:textId="7C27A66A" w:rsidR="00EA52F8" w:rsidRDefault="00EA52F8" w:rsidP="001B39BE">
      <w:pPr>
        <w:pStyle w:val="Document"/>
        <w:ind w:firstLine="0"/>
      </w:pPr>
    </w:p>
    <w:p w14:paraId="1828222D" w14:textId="31669C92" w:rsidR="00EA52F8" w:rsidRDefault="00B22A94" w:rsidP="00B22A94">
      <w:pPr>
        <w:pStyle w:val="Document"/>
        <w:tabs>
          <w:tab w:val="clear" w:pos="220"/>
          <w:tab w:val="clear" w:pos="620"/>
          <w:tab w:val="left" w:pos="1853"/>
        </w:tabs>
        <w:ind w:firstLine="0"/>
      </w:pPr>
      <w:r>
        <w:tab/>
      </w:r>
    </w:p>
    <w:p w14:paraId="605E60C4" w14:textId="4405DEB8" w:rsidR="00EA52F8" w:rsidRDefault="00EA52F8" w:rsidP="001B39BE">
      <w:pPr>
        <w:pStyle w:val="Document"/>
        <w:ind w:firstLine="0"/>
      </w:pPr>
    </w:p>
    <w:p w14:paraId="303DFEC1" w14:textId="4548731B" w:rsidR="00EA52F8" w:rsidRDefault="00EA52F8" w:rsidP="001B39BE">
      <w:pPr>
        <w:pStyle w:val="Document"/>
        <w:ind w:firstLine="0"/>
      </w:pPr>
    </w:p>
    <w:p w14:paraId="0AF9BFD7" w14:textId="42CFF4BE" w:rsidR="00EA52F8" w:rsidRDefault="00EA52F8" w:rsidP="001B39BE">
      <w:pPr>
        <w:pStyle w:val="Document"/>
        <w:ind w:firstLine="0"/>
      </w:pPr>
    </w:p>
    <w:p w14:paraId="44B2C33B" w14:textId="0198842E" w:rsidR="00E847CF" w:rsidRPr="005E6068" w:rsidRDefault="00E847CF" w:rsidP="001B39BE">
      <w:pPr>
        <w:pStyle w:val="SubHead1"/>
        <w:widowControl/>
      </w:pPr>
      <w:bookmarkStart w:id="4" w:name="_Toc23780663"/>
      <w:r w:rsidRPr="006B5497">
        <w:lastRenderedPageBreak/>
        <w:t>Introduction</w:t>
      </w:r>
      <w:bookmarkEnd w:id="4"/>
    </w:p>
    <w:p w14:paraId="18F895EA" w14:textId="3E99F165" w:rsidR="00E847CF" w:rsidRPr="005E6068" w:rsidRDefault="00E847CF" w:rsidP="001B39BE">
      <w:pPr>
        <w:pStyle w:val="Document"/>
        <w:rPr>
          <w:rFonts w:cs="Times New Roman PS"/>
          <w:noProof w:val="0"/>
        </w:rPr>
      </w:pPr>
      <w:r w:rsidRPr="005E6068">
        <w:rPr>
          <w:rFonts w:cs="Times New Roman PS"/>
          <w:noProof w:val="0"/>
        </w:rPr>
        <w:t>An important emerging literature investigates the relationship between increasing institutional investor ownership of multiple companies within an industry and competition between these companies.</w:t>
      </w:r>
      <w:r w:rsidR="00DF0A04" w:rsidRPr="005E6068">
        <w:rPr>
          <w:rFonts w:cs="Times New Roman PS"/>
          <w:noProof w:val="0"/>
        </w:rPr>
        <w:t xml:space="preserve"> </w:t>
      </w:r>
      <w:r w:rsidRPr="005E6068">
        <w:rPr>
          <w:rFonts w:cs="Times New Roman PS"/>
          <w:noProof w:val="0"/>
        </w:rPr>
        <w:t>Institutional investor ownership of U.S. equity securities has skyrocketed over the last several decades.</w:t>
      </w:r>
      <w:r w:rsidR="00DF0A04" w:rsidRPr="005E6068">
        <w:rPr>
          <w:rFonts w:cs="Times New Roman PS"/>
          <w:noProof w:val="0"/>
        </w:rPr>
        <w:t xml:space="preserve"> </w:t>
      </w:r>
      <w:r w:rsidRPr="005E6068">
        <w:rPr>
          <w:rFonts w:cs="Times New Roman PS"/>
          <w:noProof w:val="0"/>
        </w:rPr>
        <w:t>These investors are currently estimated to hold 70</w:t>
      </w:r>
      <w:r w:rsidR="000131CB" w:rsidRPr="005E6068">
        <w:rPr>
          <w:rFonts w:cs="Times New Roman PS"/>
          <w:noProof w:val="0"/>
        </w:rPr>
        <w:t>-</w:t>
      </w:r>
      <w:r w:rsidRPr="005E6068">
        <w:rPr>
          <w:rFonts w:cs="Times New Roman PS"/>
          <w:noProof w:val="0"/>
        </w:rPr>
        <w:t>80% of the shares of the S&amp;P 500.</w:t>
      </w:r>
      <w:bookmarkStart w:id="5" w:name="_Ref19042588"/>
      <w:r w:rsidRPr="00F155BE">
        <w:rPr>
          <w:rStyle w:val="NoterefInText"/>
        </w:rPr>
        <w:footnoteReference w:id="3"/>
      </w:r>
      <w:bookmarkEnd w:id="5"/>
      <w:r w:rsidR="00DF0A04" w:rsidRPr="005E6068">
        <w:rPr>
          <w:rFonts w:cs="Times New Roman PS"/>
          <w:noProof w:val="0"/>
        </w:rPr>
        <w:t xml:space="preserve"> </w:t>
      </w:r>
      <w:r w:rsidRPr="005E6068">
        <w:rPr>
          <w:rFonts w:cs="Times New Roman PS"/>
          <w:noProof w:val="0"/>
        </w:rPr>
        <w:t>Unsurprisingly, institutional common ownership of companies within various industries has risen steeply as well.</w:t>
      </w:r>
      <w:r w:rsidR="00DF0A04" w:rsidRPr="005E6068">
        <w:rPr>
          <w:rFonts w:cs="Times New Roman PS"/>
          <w:noProof w:val="0"/>
        </w:rPr>
        <w:t xml:space="preserve"> </w:t>
      </w:r>
      <w:r w:rsidRPr="005E6068">
        <w:rPr>
          <w:rFonts w:cs="Times New Roman PS"/>
          <w:noProof w:val="0"/>
        </w:rPr>
        <w:t>Between 1980 and 2010</w:t>
      </w:r>
      <w:r w:rsidR="00AE723B" w:rsidRPr="005E6068">
        <w:rPr>
          <w:rFonts w:cs="Times New Roman PS"/>
          <w:noProof w:val="0"/>
        </w:rPr>
        <w:t>,</w:t>
      </w:r>
      <w:r w:rsidRPr="005E6068">
        <w:rPr>
          <w:rFonts w:cs="Times New Roman PS"/>
          <w:noProof w:val="0"/>
        </w:rPr>
        <w:t xml:space="preserve"> the fraction of U.S. public companies with a 5% institutional shareholder holding </w:t>
      </w:r>
      <w:r w:rsidR="00CF31A9" w:rsidRPr="005E6068">
        <w:rPr>
          <w:rFonts w:cs="Times New Roman PS"/>
          <w:noProof w:val="0"/>
        </w:rPr>
        <w:t xml:space="preserve">of </w:t>
      </w:r>
      <w:r w:rsidRPr="005E6068">
        <w:rPr>
          <w:rFonts w:cs="Times New Roman PS"/>
          <w:noProof w:val="0"/>
        </w:rPr>
        <w:t>at least 5% of a competitor company increased from 10% to 60%.</w:t>
      </w:r>
      <w:r w:rsidRPr="00F155BE">
        <w:rPr>
          <w:rStyle w:val="NoterefInText"/>
        </w:rPr>
        <w:footnoteReference w:id="4"/>
      </w:r>
      <w:r w:rsidR="00DF0A04" w:rsidRPr="005E6068">
        <w:rPr>
          <w:rFonts w:cs="Times New Roman PS"/>
          <w:noProof w:val="0"/>
        </w:rPr>
        <w:t xml:space="preserve"> </w:t>
      </w:r>
      <w:r w:rsidRPr="005E6068">
        <w:rPr>
          <w:rFonts w:cs="Times New Roman PS"/>
          <w:noProof w:val="0"/>
        </w:rPr>
        <w:t>Neither trend shows signs of abating.</w:t>
      </w:r>
      <w:r w:rsidR="00DF0A04" w:rsidRPr="005E6068">
        <w:rPr>
          <w:rFonts w:cs="Times New Roman PS"/>
          <w:noProof w:val="0"/>
        </w:rPr>
        <w:t xml:space="preserve"> </w:t>
      </w:r>
    </w:p>
    <w:p w14:paraId="139BDF91" w14:textId="05E70C99" w:rsidR="00E847CF" w:rsidRPr="005E6068" w:rsidRDefault="00E847CF" w:rsidP="001B39BE">
      <w:pPr>
        <w:pStyle w:val="Document"/>
        <w:rPr>
          <w:rFonts w:cs="Times New Roman PS"/>
          <w:noProof w:val="0"/>
        </w:rPr>
      </w:pPr>
      <w:r w:rsidRPr="005E6068">
        <w:rPr>
          <w:rFonts w:cs="Times New Roman PS"/>
          <w:noProof w:val="0"/>
        </w:rPr>
        <w:t xml:space="preserve">The theoretical implications for competition are simple: unlike an investor in a single company, an investor who owns large stakes in competing companies </w:t>
      </w:r>
      <w:r w:rsidR="00532C48">
        <w:rPr>
          <w:rFonts w:cs="Times New Roman PS"/>
          <w:i/>
          <w:noProof w:val="0"/>
        </w:rPr>
        <w:t>A</w:t>
      </w:r>
      <w:r w:rsidRPr="005E6068">
        <w:rPr>
          <w:rFonts w:cs="Times New Roman PS"/>
          <w:noProof w:val="0"/>
        </w:rPr>
        <w:t xml:space="preserve">, </w:t>
      </w:r>
      <w:r w:rsidR="00532C48">
        <w:rPr>
          <w:rFonts w:cs="Times New Roman PS"/>
          <w:i/>
          <w:noProof w:val="0"/>
        </w:rPr>
        <w:t>B</w:t>
      </w:r>
      <w:r w:rsidRPr="005E6068">
        <w:rPr>
          <w:rFonts w:cs="Times New Roman PS"/>
          <w:noProof w:val="0"/>
        </w:rPr>
        <w:t xml:space="preserve">, and </w:t>
      </w:r>
      <w:r w:rsidR="00532C48">
        <w:rPr>
          <w:rFonts w:cs="Times New Roman PS"/>
          <w:i/>
          <w:noProof w:val="0"/>
        </w:rPr>
        <w:t>C</w:t>
      </w:r>
      <w:r w:rsidRPr="005E6068">
        <w:rPr>
          <w:rFonts w:cs="Times New Roman PS"/>
          <w:noProof w:val="0"/>
        </w:rPr>
        <w:t xml:space="preserve"> has an interest in the profitability of the three companies in </w:t>
      </w:r>
      <w:r w:rsidR="004F50FE" w:rsidRPr="005E6068">
        <w:rPr>
          <w:rFonts w:cs="Times New Roman PS"/>
          <w:noProof w:val="0"/>
        </w:rPr>
        <w:t xml:space="preserve">the </w:t>
      </w:r>
      <w:r w:rsidRPr="005E6068">
        <w:rPr>
          <w:rFonts w:cs="Times New Roman PS"/>
          <w:noProof w:val="0"/>
        </w:rPr>
        <w:t xml:space="preserve">aggregate and may not </w:t>
      </w:r>
      <w:r w:rsidR="004F50FE" w:rsidRPr="005E6068">
        <w:rPr>
          <w:rFonts w:cs="Times New Roman PS"/>
          <w:noProof w:val="0"/>
        </w:rPr>
        <w:t>benefit from</w:t>
      </w:r>
      <w:r w:rsidRPr="005E6068">
        <w:rPr>
          <w:rFonts w:cs="Times New Roman PS"/>
          <w:noProof w:val="0"/>
        </w:rPr>
        <w:t xml:space="preserve"> intense competition between the three companies, which could drive down aggregate returns.</w:t>
      </w:r>
      <w:r w:rsidR="00DF0A04" w:rsidRPr="005E6068">
        <w:rPr>
          <w:rFonts w:cs="Times New Roman PS"/>
          <w:noProof w:val="0"/>
        </w:rPr>
        <w:t xml:space="preserve"> </w:t>
      </w:r>
      <w:r w:rsidRPr="005E6068">
        <w:rPr>
          <w:rFonts w:cs="Times New Roman PS"/>
          <w:noProof w:val="0"/>
        </w:rPr>
        <w:t xml:space="preserve">If the managers of </w:t>
      </w:r>
      <w:r w:rsidR="00532C48">
        <w:rPr>
          <w:rFonts w:cs="Times New Roman PS"/>
          <w:i/>
          <w:noProof w:val="0"/>
        </w:rPr>
        <w:t>A</w:t>
      </w:r>
      <w:r w:rsidRPr="005E6068">
        <w:rPr>
          <w:rFonts w:cs="Times New Roman PS"/>
          <w:noProof w:val="0"/>
        </w:rPr>
        <w:t xml:space="preserve">, </w:t>
      </w:r>
      <w:r w:rsidR="00532C48">
        <w:rPr>
          <w:rFonts w:cs="Times New Roman PS"/>
          <w:i/>
          <w:noProof w:val="0"/>
        </w:rPr>
        <w:t>B</w:t>
      </w:r>
      <w:r w:rsidRPr="005E6068">
        <w:rPr>
          <w:rFonts w:cs="Times New Roman PS"/>
          <w:noProof w:val="0"/>
        </w:rPr>
        <w:t xml:space="preserve">, and </w:t>
      </w:r>
      <w:r w:rsidR="00532C48">
        <w:rPr>
          <w:rFonts w:cs="Times New Roman PS"/>
          <w:i/>
          <w:noProof w:val="0"/>
        </w:rPr>
        <w:t>C</w:t>
      </w:r>
      <w:r w:rsidRPr="005E6068">
        <w:rPr>
          <w:rFonts w:cs="Times New Roman PS"/>
          <w:noProof w:val="0"/>
        </w:rPr>
        <w:t xml:space="preserve"> respond to these common</w:t>
      </w:r>
      <w:r w:rsidR="004525EB">
        <w:rPr>
          <w:rFonts w:cs="Times New Roman PS"/>
          <w:noProof w:val="0"/>
        </w:rPr>
        <w:t>-</w:t>
      </w:r>
      <w:r w:rsidRPr="005E6068">
        <w:rPr>
          <w:rFonts w:cs="Times New Roman PS"/>
          <w:noProof w:val="0"/>
        </w:rPr>
        <w:t>owner preferences, they will compete less aggressively.</w:t>
      </w:r>
      <w:r w:rsidR="00DF0A04" w:rsidRPr="005E6068">
        <w:rPr>
          <w:rFonts w:cs="Times New Roman PS"/>
          <w:noProof w:val="0"/>
        </w:rPr>
        <w:t xml:space="preserve"> </w:t>
      </w:r>
      <w:r w:rsidRPr="005E6068">
        <w:rPr>
          <w:rFonts w:cs="Times New Roman PS"/>
          <w:noProof w:val="0"/>
        </w:rPr>
        <w:t>Two recent papers provide evidence of such anticompetitive effects in the airline and banking industries,</w:t>
      </w:r>
      <w:bookmarkStart w:id="6" w:name="_Ref19897592"/>
      <w:bookmarkStart w:id="7" w:name="_Ref19216205"/>
      <w:bookmarkStart w:id="8" w:name="_Ref19618291"/>
      <w:bookmarkStart w:id="9" w:name="_Ref430105793"/>
      <w:r w:rsidRPr="00F155BE">
        <w:rPr>
          <w:rStyle w:val="NoterefInText"/>
        </w:rPr>
        <w:footnoteReference w:id="5"/>
      </w:r>
      <w:bookmarkEnd w:id="6"/>
      <w:bookmarkEnd w:id="7"/>
      <w:bookmarkEnd w:id="8"/>
      <w:bookmarkEnd w:id="9"/>
      <w:r w:rsidRPr="005E6068">
        <w:rPr>
          <w:rFonts w:cs="Times New Roman PS"/>
          <w:noProof w:val="0"/>
        </w:rPr>
        <w:t xml:space="preserve"> but the results of these papers and the broader issues are hotly contested.</w:t>
      </w:r>
      <w:r w:rsidRPr="00F155BE">
        <w:rPr>
          <w:rStyle w:val="NoterefInText"/>
        </w:rPr>
        <w:footnoteReference w:id="6"/>
      </w:r>
    </w:p>
    <w:p w14:paraId="5DDC81EF" w14:textId="71FCF0B2" w:rsidR="00E847CF" w:rsidRPr="005E6068" w:rsidRDefault="00E847CF" w:rsidP="001B39BE">
      <w:pPr>
        <w:pStyle w:val="Document"/>
        <w:rPr>
          <w:rFonts w:cs="Times New Roman PS"/>
          <w:noProof w:val="0"/>
        </w:rPr>
      </w:pPr>
      <w:r w:rsidRPr="005E6068">
        <w:rPr>
          <w:rFonts w:cs="Times New Roman PS"/>
          <w:noProof w:val="0"/>
        </w:rPr>
        <w:t>A key question in this debate is</w:t>
      </w:r>
      <w:r w:rsidR="003349B6">
        <w:rPr>
          <w:rFonts w:cs="Times New Roman PS"/>
          <w:noProof w:val="0"/>
        </w:rPr>
        <w:t>:</w:t>
      </w:r>
      <w:r w:rsidRPr="005E6068">
        <w:rPr>
          <w:rFonts w:cs="Times New Roman PS"/>
          <w:noProof w:val="0"/>
        </w:rPr>
        <w:t xml:space="preserve"> </w:t>
      </w:r>
      <w:r w:rsidR="003349B6">
        <w:rPr>
          <w:rFonts w:cs="Times New Roman PS"/>
          <w:noProof w:val="0"/>
        </w:rPr>
        <w:t>W</w:t>
      </w:r>
      <w:r w:rsidRPr="005E6068">
        <w:rPr>
          <w:rFonts w:cs="Times New Roman PS"/>
          <w:noProof w:val="0"/>
        </w:rPr>
        <w:t>hat mechanism would translate the anticompetitive preferences of common owners into competition-reducing actions by the managers of the commonly held companies?</w:t>
      </w:r>
      <w:r w:rsidR="00DF0A04" w:rsidRPr="005E6068">
        <w:rPr>
          <w:rFonts w:cs="Times New Roman PS"/>
          <w:noProof w:val="0"/>
        </w:rPr>
        <w:t xml:space="preserve"> </w:t>
      </w:r>
      <w:r w:rsidRPr="005E6068">
        <w:rPr>
          <w:rFonts w:cs="Times New Roman PS"/>
          <w:noProof w:val="0"/>
        </w:rPr>
        <w:t>To a significant degree, the persuasiveness of the anticompetitive narrative depends on the identification of a plausible mechanism.</w:t>
      </w:r>
    </w:p>
    <w:p w14:paraId="6F7199DE" w14:textId="77777777" w:rsidR="00E847CF" w:rsidRPr="005E6068" w:rsidRDefault="00E847CF" w:rsidP="001B39BE">
      <w:pPr>
        <w:pStyle w:val="Document"/>
        <w:rPr>
          <w:rFonts w:cs="Times New Roman PS"/>
          <w:noProof w:val="0"/>
        </w:rPr>
      </w:pPr>
      <w:r w:rsidRPr="005E6068">
        <w:rPr>
          <w:rFonts w:cs="Times New Roman PS"/>
          <w:noProof w:val="0"/>
        </w:rPr>
        <w:t>For many commentators, executive pay design is a leading candidate.</w:t>
      </w:r>
      <w:r w:rsidR="00DF0A04" w:rsidRPr="005E6068">
        <w:rPr>
          <w:rFonts w:cs="Times New Roman PS"/>
          <w:noProof w:val="0"/>
        </w:rPr>
        <w:t xml:space="preserve"> </w:t>
      </w:r>
      <w:r w:rsidRPr="005E6068">
        <w:rPr>
          <w:rFonts w:cs="Times New Roman PS"/>
          <w:noProof w:val="0"/>
        </w:rPr>
        <w:t xml:space="preserve">The idea is that executive pay arrangements at companies in industries with high </w:t>
      </w:r>
      <w:r w:rsidRPr="005E6068">
        <w:rPr>
          <w:rFonts w:cs="Times New Roman PS"/>
          <w:noProof w:val="0"/>
        </w:rPr>
        <w:lastRenderedPageBreak/>
        <w:t>levels of common ownership may be designed to dampen managerial incentives to compete aggressively with peer firms.</w:t>
      </w:r>
      <w:bookmarkStart w:id="10" w:name="_Ref19898494"/>
      <w:bookmarkStart w:id="11" w:name="_Ref19703613"/>
      <w:bookmarkStart w:id="12" w:name="_Ref19210956"/>
      <w:bookmarkStart w:id="13" w:name="_Ref430105224"/>
      <w:bookmarkStart w:id="14" w:name="_Ref18937095"/>
      <w:bookmarkStart w:id="15" w:name="_Ref19691814"/>
      <w:r w:rsidRPr="00F155BE">
        <w:rPr>
          <w:rStyle w:val="NoterefInText"/>
        </w:rPr>
        <w:footnoteReference w:id="7"/>
      </w:r>
      <w:bookmarkEnd w:id="10"/>
      <w:bookmarkEnd w:id="11"/>
      <w:bookmarkEnd w:id="12"/>
      <w:bookmarkEnd w:id="13"/>
      <w:bookmarkEnd w:id="14"/>
      <w:bookmarkEnd w:id="15"/>
      <w:r w:rsidR="00DF0A04" w:rsidRPr="005E6068">
        <w:rPr>
          <w:rFonts w:cs="Times New Roman PS"/>
          <w:noProof w:val="0"/>
        </w:rPr>
        <w:t xml:space="preserve"> </w:t>
      </w:r>
      <w:r w:rsidRPr="005E6068">
        <w:rPr>
          <w:rFonts w:cs="Times New Roman PS"/>
          <w:noProof w:val="0"/>
        </w:rPr>
        <w:t>Empirical papers investigating this possibility have taken two approaches.</w:t>
      </w:r>
      <w:r w:rsidR="00DF0A04" w:rsidRPr="005E6068">
        <w:rPr>
          <w:rFonts w:cs="Times New Roman PS"/>
          <w:noProof w:val="0"/>
        </w:rPr>
        <w:t xml:space="preserve"> </w:t>
      </w:r>
    </w:p>
    <w:p w14:paraId="7428D700" w14:textId="5902D26D" w:rsidR="00E847CF" w:rsidRPr="005E6068" w:rsidRDefault="00E847CF" w:rsidP="001B39BE">
      <w:pPr>
        <w:pStyle w:val="Document"/>
        <w:rPr>
          <w:rFonts w:cs="Times New Roman PS"/>
          <w:noProof w:val="0"/>
        </w:rPr>
      </w:pPr>
      <w:r w:rsidRPr="005E6068">
        <w:rPr>
          <w:rFonts w:cs="Times New Roman PS"/>
          <w:noProof w:val="0"/>
        </w:rPr>
        <w:t>First, a number of papers have investigated whether common ownership is associated with the use of executive relative performance evaluation (</w:t>
      </w:r>
      <w:r w:rsidR="009A645E">
        <w:rPr>
          <w:rFonts w:cs="Times New Roman PS"/>
          <w:noProof w:val="0"/>
        </w:rPr>
        <w:t>“</w:t>
      </w:r>
      <w:r w:rsidRPr="005E6068">
        <w:rPr>
          <w:rFonts w:cs="Times New Roman PS"/>
          <w:noProof w:val="0"/>
        </w:rPr>
        <w:t>RPE</w:t>
      </w:r>
      <w:r w:rsidR="009A645E">
        <w:rPr>
          <w:rFonts w:cs="Times New Roman PS"/>
          <w:noProof w:val="0"/>
        </w:rPr>
        <w:t>”</w:t>
      </w:r>
      <w:r w:rsidRPr="005E6068">
        <w:rPr>
          <w:rFonts w:cs="Times New Roman PS"/>
          <w:noProof w:val="0"/>
        </w:rPr>
        <w:t>).</w:t>
      </w:r>
      <w:bookmarkStart w:id="16" w:name="_Ref19898488"/>
      <w:bookmarkStart w:id="17" w:name="_Ref19690677"/>
      <w:bookmarkStart w:id="18" w:name="_Ref19108320"/>
      <w:bookmarkStart w:id="19" w:name="_Ref430105309"/>
      <w:bookmarkStart w:id="20" w:name="_Ref19695796"/>
      <w:r w:rsidRPr="00F155BE">
        <w:rPr>
          <w:rStyle w:val="NoterefInText"/>
        </w:rPr>
        <w:footnoteReference w:id="8"/>
      </w:r>
      <w:bookmarkEnd w:id="16"/>
      <w:bookmarkEnd w:id="17"/>
      <w:bookmarkEnd w:id="18"/>
      <w:bookmarkEnd w:id="19"/>
      <w:bookmarkEnd w:id="20"/>
      <w:r w:rsidR="00DF0A04" w:rsidRPr="005E6068">
        <w:rPr>
          <w:rFonts w:cs="Times New Roman PS"/>
          <w:noProof w:val="0"/>
        </w:rPr>
        <w:t xml:space="preserve"> </w:t>
      </w:r>
      <w:r w:rsidRPr="005E6068">
        <w:rPr>
          <w:rFonts w:cs="Times New Roman PS"/>
          <w:noProof w:val="0"/>
        </w:rPr>
        <w:t>As the term suggests, RPE-based compensation rewards executives for company performance relative to that of peer firms.</w:t>
      </w:r>
      <w:bookmarkStart w:id="21" w:name="_Ref19706676"/>
      <w:r w:rsidRPr="00F155BE">
        <w:rPr>
          <w:rStyle w:val="NoterefInText"/>
        </w:rPr>
        <w:footnoteReference w:id="9"/>
      </w:r>
      <w:bookmarkEnd w:id="21"/>
      <w:r w:rsidR="00DF0A04" w:rsidRPr="005E6068">
        <w:rPr>
          <w:rFonts w:cs="Times New Roman PS"/>
          <w:noProof w:val="0"/>
        </w:rPr>
        <w:t xml:space="preserve"> </w:t>
      </w:r>
      <w:r w:rsidRPr="005E6068">
        <w:rPr>
          <w:rFonts w:cs="Times New Roman PS"/>
          <w:noProof w:val="0"/>
        </w:rPr>
        <w:t xml:space="preserve">Since a manager with a strong RPE-based contract can profit by increasing own-firm performance or depressing peer-firm performance, RPE-based arrangements tend to encourage aggressive competition between companies and </w:t>
      </w:r>
      <w:r w:rsidR="00F76D5D" w:rsidRPr="005E6068">
        <w:rPr>
          <w:rFonts w:cs="Times New Roman PS"/>
          <w:noProof w:val="0"/>
        </w:rPr>
        <w:t xml:space="preserve">therefore </w:t>
      </w:r>
      <w:r w:rsidRPr="005E6068">
        <w:rPr>
          <w:rFonts w:cs="Times New Roman PS"/>
          <w:noProof w:val="0"/>
        </w:rPr>
        <w:t>would not be preferred</w:t>
      </w:r>
      <w:r w:rsidR="00EC7B71">
        <w:rPr>
          <w:rFonts w:cs="Times New Roman PS"/>
          <w:noProof w:val="0"/>
        </w:rPr>
        <w:t>—</w:t>
      </w:r>
      <w:r w:rsidRPr="005E6068">
        <w:rPr>
          <w:rFonts w:cs="Times New Roman PS"/>
          <w:noProof w:val="0"/>
        </w:rPr>
        <w:t>so the thinking goes</w:t>
      </w:r>
      <w:r w:rsidR="00EC7B71">
        <w:rPr>
          <w:rFonts w:cs="Times New Roman PS"/>
          <w:noProof w:val="0"/>
        </w:rPr>
        <w:t>—</w:t>
      </w:r>
      <w:r w:rsidRPr="005E6068">
        <w:rPr>
          <w:rFonts w:cs="Times New Roman PS"/>
          <w:noProof w:val="0"/>
        </w:rPr>
        <w:t>by investors with large common ownership stakes.</w:t>
      </w:r>
      <w:r w:rsidR="00DF0A04" w:rsidRPr="005E6068">
        <w:rPr>
          <w:rFonts w:cs="Times New Roman PS"/>
          <w:noProof w:val="0"/>
        </w:rPr>
        <w:t xml:space="preserve"> </w:t>
      </w:r>
      <w:r w:rsidRPr="005E6068">
        <w:rPr>
          <w:rFonts w:cs="Times New Roman PS"/>
          <w:noProof w:val="0"/>
        </w:rPr>
        <w:t xml:space="preserve">In a highly cited working paper, </w:t>
      </w:r>
      <w:r w:rsidR="00941B46">
        <w:rPr>
          <w:rFonts w:cs="Times New Roman PS"/>
          <w:noProof w:val="0"/>
        </w:rPr>
        <w:t xml:space="preserve">Miguel </w:t>
      </w:r>
      <w:r w:rsidRPr="005E6068">
        <w:rPr>
          <w:rFonts w:cs="Times New Roman PS"/>
          <w:noProof w:val="0"/>
        </w:rPr>
        <w:t xml:space="preserve">Anton, </w:t>
      </w:r>
      <w:r w:rsidR="00941B46">
        <w:rPr>
          <w:rFonts w:cs="Times New Roman PS"/>
          <w:noProof w:val="0"/>
        </w:rPr>
        <w:t xml:space="preserve">Florian </w:t>
      </w:r>
      <w:r w:rsidRPr="005E6068">
        <w:rPr>
          <w:rFonts w:cs="Times New Roman PS"/>
          <w:noProof w:val="0"/>
        </w:rPr>
        <w:t xml:space="preserve">Ederer, </w:t>
      </w:r>
      <w:r w:rsidR="00941B46">
        <w:rPr>
          <w:rFonts w:cs="Times New Roman PS"/>
          <w:noProof w:val="0"/>
        </w:rPr>
        <w:t xml:space="preserve">Mireia </w:t>
      </w:r>
      <w:r w:rsidRPr="005E6068">
        <w:rPr>
          <w:rFonts w:cs="Times New Roman PS"/>
          <w:noProof w:val="0"/>
        </w:rPr>
        <w:t>Gin</w:t>
      </w:r>
      <w:r w:rsidR="009C6B62">
        <w:rPr>
          <w:rFonts w:cs="Times"/>
          <w:noProof w:val="0"/>
        </w:rPr>
        <w:t>é</w:t>
      </w:r>
      <w:r w:rsidR="00106028">
        <w:rPr>
          <w:rFonts w:cs="Times New Roman PS"/>
          <w:noProof w:val="0"/>
        </w:rPr>
        <w:t>,</w:t>
      </w:r>
      <w:r w:rsidRPr="005E6068">
        <w:rPr>
          <w:rFonts w:cs="Times New Roman PS"/>
          <w:noProof w:val="0"/>
        </w:rPr>
        <w:t xml:space="preserve"> and </w:t>
      </w:r>
      <w:r w:rsidR="00941B46">
        <w:rPr>
          <w:rFonts w:cs="Times New Roman PS"/>
          <w:noProof w:val="0"/>
        </w:rPr>
        <w:t xml:space="preserve">Martin C. </w:t>
      </w:r>
      <w:r w:rsidRPr="005E6068">
        <w:rPr>
          <w:rFonts w:cs="Times New Roman PS"/>
          <w:noProof w:val="0"/>
        </w:rPr>
        <w:t>Schmalz (</w:t>
      </w:r>
      <w:r w:rsidR="009A645E">
        <w:rPr>
          <w:rFonts w:cs="Times New Roman PS"/>
          <w:noProof w:val="0"/>
        </w:rPr>
        <w:t>“</w:t>
      </w:r>
      <w:r w:rsidRPr="005E6068">
        <w:rPr>
          <w:rFonts w:cs="Times New Roman PS"/>
          <w:noProof w:val="0"/>
        </w:rPr>
        <w:t>AEGS</w:t>
      </w:r>
      <w:r w:rsidR="009A645E">
        <w:rPr>
          <w:rFonts w:cs="Times New Roman PS"/>
          <w:noProof w:val="0"/>
        </w:rPr>
        <w:t>”</w:t>
      </w:r>
      <w:r w:rsidRPr="005E6068">
        <w:rPr>
          <w:rFonts w:cs="Times New Roman PS"/>
          <w:noProof w:val="0"/>
        </w:rPr>
        <w:t>) reported evidence of a negative association between common ownership and the use of RPE,</w:t>
      </w:r>
      <w:r w:rsidRPr="00F155BE">
        <w:rPr>
          <w:rStyle w:val="NoterefInText"/>
        </w:rPr>
        <w:footnoteReference w:id="10"/>
      </w:r>
      <w:r w:rsidRPr="005E6068">
        <w:rPr>
          <w:rFonts w:cs="Times New Roman PS"/>
          <w:noProof w:val="0"/>
        </w:rPr>
        <w:t xml:space="preserve"> but others have found evidence of a positive association</w:t>
      </w:r>
      <w:r w:rsidRPr="00F155BE">
        <w:rPr>
          <w:rStyle w:val="NoterefInText"/>
        </w:rPr>
        <w:footnoteReference w:id="11"/>
      </w:r>
      <w:r w:rsidRPr="005E6068">
        <w:rPr>
          <w:rFonts w:cs="Times New Roman PS"/>
          <w:noProof w:val="0"/>
        </w:rPr>
        <w:t xml:space="preserve"> or of no association.</w:t>
      </w:r>
      <w:r w:rsidRPr="00F155BE">
        <w:rPr>
          <w:rStyle w:val="NoterefInText"/>
        </w:rPr>
        <w:footnoteReference w:id="12"/>
      </w:r>
    </w:p>
    <w:p w14:paraId="5DCD16DB" w14:textId="327F9567" w:rsidR="00E847CF" w:rsidRPr="005E6068" w:rsidRDefault="00E847CF" w:rsidP="001B39BE">
      <w:pPr>
        <w:pStyle w:val="Document"/>
        <w:rPr>
          <w:rFonts w:cs="Times New Roman PS"/>
          <w:noProof w:val="0"/>
        </w:rPr>
      </w:pPr>
      <w:r w:rsidRPr="005E6068">
        <w:rPr>
          <w:rFonts w:cs="Times New Roman PS"/>
          <w:noProof w:val="0"/>
        </w:rPr>
        <w:t>Second, recognizing that managerial incentives are a function of equity holdings as well as current compensation arrangements, AEGS have revised their working paper, replacing RPE measures as their dependent variables with various measures of the sensitivity of an executive</w:t>
      </w:r>
      <w:r w:rsidR="009A645E">
        <w:rPr>
          <w:rFonts w:cs="Times New Roman PS"/>
          <w:noProof w:val="0"/>
        </w:rPr>
        <w:t>’</w:t>
      </w:r>
      <w:r w:rsidRPr="005E6068">
        <w:rPr>
          <w:rFonts w:cs="Times New Roman PS"/>
          <w:noProof w:val="0"/>
        </w:rPr>
        <w:t>s wealth to own-firm performance.</w:t>
      </w:r>
      <w:r w:rsidRPr="00F155BE">
        <w:rPr>
          <w:rStyle w:val="NoterefInText"/>
        </w:rPr>
        <w:footnoteReference w:id="13"/>
      </w:r>
      <w:r w:rsidR="00DF0A04" w:rsidRPr="005E6068">
        <w:rPr>
          <w:rFonts w:cs="Times New Roman PS"/>
          <w:noProof w:val="0"/>
        </w:rPr>
        <w:t xml:space="preserve"> </w:t>
      </w:r>
      <w:r w:rsidRPr="005E6068">
        <w:rPr>
          <w:rFonts w:cs="Times New Roman PS"/>
          <w:noProof w:val="0"/>
        </w:rPr>
        <w:t xml:space="preserve">They predict and find that greater common ownership is </w:t>
      </w:r>
      <w:r w:rsidRPr="005E6068">
        <w:rPr>
          <w:rFonts w:cs="Times New Roman PS"/>
          <w:noProof w:val="0"/>
        </w:rPr>
        <w:lastRenderedPageBreak/>
        <w:t>associated with lower wealth</w:t>
      </w:r>
      <w:r w:rsidR="00F14C4D">
        <w:rPr>
          <w:rFonts w:cs="Times New Roman PS"/>
          <w:noProof w:val="0"/>
        </w:rPr>
        <w:t>-</w:t>
      </w:r>
      <w:r w:rsidRPr="005E6068">
        <w:rPr>
          <w:rFonts w:cs="Times New Roman PS"/>
          <w:noProof w:val="0"/>
        </w:rPr>
        <w:t>to</w:t>
      </w:r>
      <w:r w:rsidR="00F14C4D">
        <w:rPr>
          <w:rFonts w:cs="Times New Roman PS"/>
          <w:noProof w:val="0"/>
        </w:rPr>
        <w:t>-</w:t>
      </w:r>
      <w:r w:rsidRPr="005E6068">
        <w:rPr>
          <w:rFonts w:cs="Times New Roman PS"/>
          <w:noProof w:val="0"/>
        </w:rPr>
        <w:t xml:space="preserve">performance sensitivity, that </w:t>
      </w:r>
      <w:r w:rsidR="00FD0F81">
        <w:rPr>
          <w:rFonts w:cs="Times New Roman PS"/>
          <w:noProof w:val="0"/>
        </w:rPr>
        <w:t>is</w:t>
      </w:r>
      <w:r w:rsidRPr="005E6068">
        <w:rPr>
          <w:rFonts w:cs="Times New Roman PS"/>
          <w:noProof w:val="0"/>
        </w:rPr>
        <w:t xml:space="preserve">, </w:t>
      </w:r>
      <w:r w:rsidR="000E2876">
        <w:rPr>
          <w:rFonts w:cs="Times New Roman PS"/>
          <w:noProof w:val="0"/>
        </w:rPr>
        <w:t xml:space="preserve">with </w:t>
      </w:r>
      <w:r w:rsidRPr="005E6068">
        <w:rPr>
          <w:rFonts w:cs="Times New Roman PS"/>
          <w:noProof w:val="0"/>
        </w:rPr>
        <w:t>lower-powered</w:t>
      </w:r>
      <w:r w:rsidR="001246CD">
        <w:rPr>
          <w:rFonts w:cs="Times New Roman PS"/>
          <w:noProof w:val="0"/>
        </w:rPr>
        <w:t>,</w:t>
      </w:r>
      <w:r w:rsidRPr="005E6068">
        <w:rPr>
          <w:rFonts w:cs="Times New Roman PS"/>
          <w:noProof w:val="0"/>
        </w:rPr>
        <w:t xml:space="preserve"> or </w:t>
      </w:r>
      <w:r w:rsidR="009A645E">
        <w:rPr>
          <w:rFonts w:cs="Times New Roman PS"/>
          <w:noProof w:val="0"/>
        </w:rPr>
        <w:t>“</w:t>
      </w:r>
      <w:r w:rsidRPr="005E6068">
        <w:rPr>
          <w:rFonts w:cs="Times New Roman PS"/>
          <w:noProof w:val="0"/>
        </w:rPr>
        <w:t>flatter</w:t>
      </w:r>
      <w:r w:rsidR="009A645E">
        <w:rPr>
          <w:rFonts w:cs="Times New Roman PS"/>
          <w:noProof w:val="0"/>
        </w:rPr>
        <w:t>”</w:t>
      </w:r>
      <w:r w:rsidRPr="005E6068">
        <w:rPr>
          <w:rFonts w:cs="Times New Roman PS"/>
          <w:noProof w:val="0"/>
        </w:rPr>
        <w:t xml:space="preserve"> incentives </w:t>
      </w:r>
      <w:r w:rsidR="000E2876">
        <w:rPr>
          <w:rFonts w:cs="Times New Roman PS"/>
          <w:noProof w:val="0"/>
        </w:rPr>
        <w:t xml:space="preserve">that </w:t>
      </w:r>
      <w:r w:rsidRPr="005E6068">
        <w:rPr>
          <w:rFonts w:cs="Times New Roman PS"/>
          <w:noProof w:val="0"/>
        </w:rPr>
        <w:t>would</w:t>
      </w:r>
      <w:r w:rsidR="000E2876">
        <w:rPr>
          <w:rFonts w:cs="Times New Roman PS"/>
          <w:noProof w:val="0"/>
        </w:rPr>
        <w:t xml:space="preserve">, </w:t>
      </w:r>
      <w:r w:rsidRPr="005E6068">
        <w:rPr>
          <w:rFonts w:cs="Times New Roman PS"/>
          <w:noProof w:val="0"/>
        </w:rPr>
        <w:t>they suggest</w:t>
      </w:r>
      <w:r w:rsidR="000E2876">
        <w:rPr>
          <w:rFonts w:cs="Times New Roman PS"/>
          <w:noProof w:val="0"/>
        </w:rPr>
        <w:t xml:space="preserve">, </w:t>
      </w:r>
      <w:r w:rsidRPr="005E6068">
        <w:rPr>
          <w:rFonts w:cs="Times New Roman PS"/>
          <w:noProof w:val="0"/>
        </w:rPr>
        <w:t>result in less competition with peer firms.</w:t>
      </w:r>
      <w:r w:rsidRPr="00F155BE">
        <w:rPr>
          <w:rStyle w:val="NoterefInText"/>
        </w:rPr>
        <w:footnoteReference w:id="14"/>
      </w:r>
    </w:p>
    <w:p w14:paraId="1FF2B324" w14:textId="095D9660" w:rsidR="00E847CF" w:rsidRPr="005E6068" w:rsidRDefault="00E847CF" w:rsidP="001B39BE">
      <w:pPr>
        <w:pStyle w:val="Document"/>
        <w:rPr>
          <w:rFonts w:cs="Times New Roman PS"/>
          <w:noProof w:val="0"/>
        </w:rPr>
      </w:pPr>
      <w:r w:rsidRPr="005E6068">
        <w:rPr>
          <w:rFonts w:cs="Times New Roman PS"/>
          <w:noProof w:val="0"/>
        </w:rPr>
        <w:t xml:space="preserve">This </w:t>
      </w:r>
      <w:r w:rsidR="00D50C91">
        <w:rPr>
          <w:rFonts w:cs="Times New Roman PS"/>
          <w:noProof w:val="0"/>
        </w:rPr>
        <w:t>Article</w:t>
      </w:r>
      <w:r w:rsidRPr="005E6068">
        <w:rPr>
          <w:rFonts w:cs="Times New Roman PS"/>
          <w:noProof w:val="0"/>
        </w:rPr>
        <w:t xml:space="preserve"> argues that executive pay design is actually not a plausible mechanism linking common ownership with reduced competition.</w:t>
      </w:r>
      <w:r w:rsidR="00DF0A04" w:rsidRPr="005E6068">
        <w:rPr>
          <w:rFonts w:cs="Times New Roman PS"/>
          <w:noProof w:val="0"/>
        </w:rPr>
        <w:t xml:space="preserve"> </w:t>
      </w:r>
      <w:r w:rsidRPr="005E6068">
        <w:rPr>
          <w:rFonts w:cs="Times New Roman PS"/>
          <w:noProof w:val="0"/>
        </w:rPr>
        <w:t xml:space="preserve">It argues that executive pay design is a poor fit from a theoretical </w:t>
      </w:r>
      <w:r w:rsidR="000E2876">
        <w:rPr>
          <w:rFonts w:cs="Times New Roman PS"/>
          <w:noProof w:val="0"/>
        </w:rPr>
        <w:t>or</w:t>
      </w:r>
      <w:r w:rsidRPr="005E6068">
        <w:rPr>
          <w:rFonts w:cs="Times New Roman PS"/>
          <w:noProof w:val="0"/>
        </w:rPr>
        <w:t xml:space="preserve"> conceptual standpoint, that the trends i</w:t>
      </w:r>
      <w:r w:rsidR="00106028">
        <w:rPr>
          <w:rFonts w:cs="Times New Roman PS"/>
          <w:noProof w:val="0"/>
        </w:rPr>
        <w:t>n executive pay over the last twenty</w:t>
      </w:r>
      <w:r w:rsidRPr="005E6068">
        <w:rPr>
          <w:rFonts w:cs="Times New Roman PS"/>
          <w:noProof w:val="0"/>
        </w:rPr>
        <w:t xml:space="preserve"> years are inconsistent with this narrative, and that the empirical methods used to establish the purported relationship are flawed in ways that have not been identified by previous commentators.</w:t>
      </w:r>
      <w:r w:rsidR="00DF0A04" w:rsidRPr="005E6068">
        <w:rPr>
          <w:rFonts w:cs="Times New Roman PS"/>
          <w:noProof w:val="0"/>
        </w:rPr>
        <w:t xml:space="preserve"> </w:t>
      </w:r>
      <w:r w:rsidRPr="005E6068">
        <w:rPr>
          <w:rFonts w:cs="Times New Roman PS"/>
          <w:noProof w:val="0"/>
        </w:rPr>
        <w:t>The analysis proceeds in four main parts.</w:t>
      </w:r>
    </w:p>
    <w:p w14:paraId="3CCF2EEA" w14:textId="272E3E08" w:rsidR="00E847CF" w:rsidRPr="005E6068" w:rsidRDefault="00E847CF" w:rsidP="001B39BE">
      <w:pPr>
        <w:pStyle w:val="Document"/>
        <w:rPr>
          <w:rFonts w:cs="Times New Roman PS"/>
          <w:noProof w:val="0"/>
        </w:rPr>
      </w:pPr>
      <w:r w:rsidRPr="005E6068">
        <w:rPr>
          <w:rFonts w:cs="Times New Roman PS"/>
          <w:noProof w:val="0"/>
        </w:rPr>
        <w:t>Part I briefly recaps the evidence and debate concerning the growth of institutional</w:t>
      </w:r>
      <w:r w:rsidR="0053337A">
        <w:rPr>
          <w:rFonts w:cs="Times New Roman PS"/>
          <w:noProof w:val="0"/>
        </w:rPr>
        <w:t xml:space="preserve"> </w:t>
      </w:r>
      <w:r w:rsidRPr="005E6068">
        <w:rPr>
          <w:rFonts w:cs="Times New Roman PS"/>
          <w:noProof w:val="0"/>
        </w:rPr>
        <w:t xml:space="preserve">investor common ownership and the </w:t>
      </w:r>
      <w:r w:rsidR="00783FBB" w:rsidRPr="005E6068">
        <w:rPr>
          <w:rFonts w:cs="Times New Roman PS"/>
          <w:noProof w:val="0"/>
        </w:rPr>
        <w:t xml:space="preserve">resulting </w:t>
      </w:r>
      <w:r w:rsidRPr="005E6068">
        <w:rPr>
          <w:rFonts w:cs="Times New Roman PS"/>
          <w:noProof w:val="0"/>
        </w:rPr>
        <w:t>impact on competition between commonly held companies.</w:t>
      </w:r>
      <w:r w:rsidR="00DF0A04" w:rsidRPr="005E6068">
        <w:rPr>
          <w:rFonts w:cs="Times New Roman PS"/>
          <w:noProof w:val="0"/>
        </w:rPr>
        <w:t xml:space="preserve"> </w:t>
      </w:r>
      <w:r w:rsidRPr="005E6068">
        <w:rPr>
          <w:rFonts w:cs="Times New Roman PS"/>
          <w:noProof w:val="0"/>
        </w:rPr>
        <w:t>This Part also highlights the key question of the mechanism linking the two and the importance of executive pay design as a leading mechanism.</w:t>
      </w:r>
    </w:p>
    <w:p w14:paraId="7347A1BE" w14:textId="04C9C5C5" w:rsidR="00E847CF" w:rsidRPr="005E6068" w:rsidRDefault="00E847CF" w:rsidP="001B39BE">
      <w:pPr>
        <w:pStyle w:val="Document"/>
        <w:rPr>
          <w:rFonts w:cs="Times New Roman PS"/>
          <w:noProof w:val="0"/>
        </w:rPr>
      </w:pPr>
      <w:r w:rsidRPr="005E6068">
        <w:rPr>
          <w:rFonts w:cs="Times New Roman PS"/>
          <w:noProof w:val="0"/>
        </w:rPr>
        <w:t>Part II considers the possible relationship between common ownership and the use of RPE.</w:t>
      </w:r>
      <w:r w:rsidR="00DF0A04" w:rsidRPr="005E6068">
        <w:rPr>
          <w:rFonts w:cs="Times New Roman PS"/>
          <w:noProof w:val="0"/>
        </w:rPr>
        <w:t xml:space="preserve"> </w:t>
      </w:r>
      <w:r w:rsidRPr="005E6068">
        <w:rPr>
          <w:rFonts w:cs="Times New Roman PS"/>
          <w:noProof w:val="0"/>
        </w:rPr>
        <w:t xml:space="preserve">This Part shows that the macro trends run exactly counter to the idea of executive pay serving as a mechanism </w:t>
      </w:r>
      <w:r w:rsidR="007318D0">
        <w:rPr>
          <w:rFonts w:cs="Times New Roman PS"/>
          <w:noProof w:val="0"/>
        </w:rPr>
        <w:t xml:space="preserve">for </w:t>
      </w:r>
      <w:r w:rsidRPr="005E6068">
        <w:rPr>
          <w:rFonts w:cs="Times New Roman PS"/>
          <w:noProof w:val="0"/>
        </w:rPr>
        <w:t>discouraging competition in industries with high levels of common ownership.</w:t>
      </w:r>
      <w:r w:rsidR="00DF0A04" w:rsidRPr="005E6068">
        <w:rPr>
          <w:rFonts w:cs="Times New Roman PS"/>
          <w:noProof w:val="0"/>
        </w:rPr>
        <w:t xml:space="preserve"> </w:t>
      </w:r>
      <w:r w:rsidRPr="005E6068">
        <w:rPr>
          <w:rFonts w:cs="Times New Roman PS"/>
          <w:noProof w:val="0"/>
        </w:rPr>
        <w:t>If common owners discourage the use of RPE, one would expect reduced use of RPE over the last several decades as common ownership has mushroomed, but just the opposite is true.</w:t>
      </w:r>
      <w:r w:rsidR="00DF0A04" w:rsidRPr="005E6068">
        <w:rPr>
          <w:rFonts w:cs="Times New Roman PS"/>
          <w:noProof w:val="0"/>
        </w:rPr>
        <w:t xml:space="preserve"> </w:t>
      </w:r>
      <w:r w:rsidRPr="005E6068">
        <w:rPr>
          <w:rFonts w:cs="Times New Roman PS"/>
          <w:noProof w:val="0"/>
        </w:rPr>
        <w:t>Prior to 2000, there was very little use of RPE in long-term executive pay arrangements at U.S. public companies.</w:t>
      </w:r>
      <w:r w:rsidR="00DF0A04" w:rsidRPr="005E6068">
        <w:rPr>
          <w:rFonts w:cs="Times New Roman PS"/>
          <w:noProof w:val="0"/>
        </w:rPr>
        <w:t xml:space="preserve"> </w:t>
      </w:r>
      <w:r w:rsidRPr="005E6068">
        <w:rPr>
          <w:rFonts w:cs="Times New Roman PS"/>
          <w:noProof w:val="0"/>
        </w:rPr>
        <w:t>In the last two decades, use of explicit RPE has increased dramatically.</w:t>
      </w:r>
      <w:r w:rsidR="00DF0A04" w:rsidRPr="005E6068">
        <w:rPr>
          <w:rFonts w:cs="Times New Roman PS"/>
          <w:noProof w:val="0"/>
        </w:rPr>
        <w:t xml:space="preserve"> </w:t>
      </w:r>
      <w:r w:rsidRPr="005E6068">
        <w:rPr>
          <w:rFonts w:cs="Times New Roman PS"/>
          <w:noProof w:val="0"/>
        </w:rPr>
        <w:t>Part II also offers other reasons to doubt that the use of RPE is a function of common ownership; for example, specific design elements of RPE are inconsistent with purported common</w:t>
      </w:r>
      <w:r w:rsidR="007318D0">
        <w:rPr>
          <w:rFonts w:cs="Times New Roman PS"/>
          <w:noProof w:val="0"/>
        </w:rPr>
        <w:t>-</w:t>
      </w:r>
      <w:r w:rsidRPr="005E6068">
        <w:rPr>
          <w:rFonts w:cs="Times New Roman PS"/>
          <w:noProof w:val="0"/>
        </w:rPr>
        <w:t>owner preferences.</w:t>
      </w:r>
      <w:r w:rsidR="00DF0A04" w:rsidRPr="005E6068">
        <w:rPr>
          <w:rFonts w:cs="Times New Roman PS"/>
          <w:noProof w:val="0"/>
        </w:rPr>
        <w:t xml:space="preserve"> </w:t>
      </w:r>
      <w:r w:rsidRPr="005E6068">
        <w:rPr>
          <w:rFonts w:cs="Times New Roman PS"/>
          <w:noProof w:val="0"/>
        </w:rPr>
        <w:t>Finally, Part II identifies a serious flaw in the identification of RPE utilized in the empirical studies that find a negative relationship between common ownership and use of RPE.</w:t>
      </w:r>
      <w:r w:rsidR="00DF0A04" w:rsidRPr="005E6068">
        <w:rPr>
          <w:rFonts w:cs="Times New Roman PS"/>
          <w:noProof w:val="0"/>
        </w:rPr>
        <w:t xml:space="preserve"> </w:t>
      </w:r>
      <w:r w:rsidRPr="005E6068">
        <w:rPr>
          <w:rFonts w:cs="Times New Roman PS"/>
          <w:noProof w:val="0"/>
        </w:rPr>
        <w:t>In short, the methodology is appropriate for identifying executive incentives associated with implicit RPE</w:t>
      </w:r>
      <w:r w:rsidR="000E2876">
        <w:rPr>
          <w:rFonts w:cs="Times New Roman PS"/>
          <w:noProof w:val="0"/>
        </w:rPr>
        <w:t>,</w:t>
      </w:r>
      <w:r w:rsidRPr="005E6068">
        <w:rPr>
          <w:rFonts w:cs="Times New Roman PS"/>
          <w:noProof w:val="0"/>
        </w:rPr>
        <w:t xml:space="preserve"> but not</w:t>
      </w:r>
      <w:r w:rsidR="000E5FA4">
        <w:rPr>
          <w:rFonts w:cs="Times New Roman PS"/>
          <w:noProof w:val="0"/>
        </w:rPr>
        <w:t xml:space="preserve"> </w:t>
      </w:r>
      <w:r w:rsidR="000E2876">
        <w:rPr>
          <w:rFonts w:cs="Times New Roman PS"/>
          <w:noProof w:val="0"/>
        </w:rPr>
        <w:t xml:space="preserve">appropriate for identifying executive incentives associated with </w:t>
      </w:r>
      <w:r w:rsidRPr="005E6068">
        <w:rPr>
          <w:rFonts w:cs="Times New Roman PS"/>
          <w:noProof w:val="0"/>
        </w:rPr>
        <w:t>explicit RPE, which now likely dominates.</w:t>
      </w:r>
      <w:r w:rsidRPr="00F155BE">
        <w:rPr>
          <w:rStyle w:val="NoterefInText"/>
        </w:rPr>
        <w:footnoteReference w:id="15"/>
      </w:r>
    </w:p>
    <w:p w14:paraId="1E14F4F4" w14:textId="0F5FA327" w:rsidR="00E847CF" w:rsidRPr="005E6068" w:rsidRDefault="00E847CF" w:rsidP="001B39BE">
      <w:pPr>
        <w:pStyle w:val="Document"/>
        <w:rPr>
          <w:rFonts w:cs="Times New Roman PS"/>
          <w:noProof w:val="0"/>
        </w:rPr>
      </w:pPr>
      <w:r w:rsidRPr="005E6068">
        <w:rPr>
          <w:rFonts w:cs="Times New Roman PS"/>
          <w:noProof w:val="0"/>
        </w:rPr>
        <w:t>Part III turns to the idea that the sensitivity of managerial wealth to own-firm performance (</w:t>
      </w:r>
      <w:r w:rsidR="009A645E">
        <w:rPr>
          <w:rFonts w:cs="Times New Roman PS"/>
          <w:noProof w:val="0"/>
        </w:rPr>
        <w:t>“</w:t>
      </w:r>
      <w:r w:rsidRPr="005E6068">
        <w:rPr>
          <w:rFonts w:cs="Times New Roman PS"/>
          <w:noProof w:val="0"/>
        </w:rPr>
        <w:t>WPS</w:t>
      </w:r>
      <w:r w:rsidR="009A645E">
        <w:rPr>
          <w:rFonts w:cs="Times New Roman PS"/>
          <w:noProof w:val="0"/>
        </w:rPr>
        <w:t>”</w:t>
      </w:r>
      <w:r w:rsidRPr="005E6068">
        <w:rPr>
          <w:rFonts w:cs="Times New Roman PS"/>
          <w:noProof w:val="0"/>
        </w:rPr>
        <w:t>) may be a function of common ownership and considers the evidence, focusing on three primary critiques.</w:t>
      </w:r>
      <w:r w:rsidR="00DF0A04" w:rsidRPr="005E6068">
        <w:rPr>
          <w:rFonts w:cs="Times New Roman PS"/>
          <w:noProof w:val="0"/>
        </w:rPr>
        <w:t xml:space="preserve"> </w:t>
      </w:r>
      <w:r w:rsidRPr="005E6068">
        <w:rPr>
          <w:rFonts w:cs="Times New Roman PS"/>
          <w:noProof w:val="0"/>
        </w:rPr>
        <w:t>First, the use of lower-powered incentives to discourage competition seems an unrealistically rough lever.</w:t>
      </w:r>
      <w:r w:rsidR="00DF0A04" w:rsidRPr="005E6068">
        <w:rPr>
          <w:rFonts w:cs="Times New Roman PS"/>
          <w:noProof w:val="0"/>
        </w:rPr>
        <w:t xml:space="preserve"> </w:t>
      </w:r>
      <w:r w:rsidRPr="005E6068">
        <w:rPr>
          <w:rFonts w:cs="Times New Roman PS"/>
          <w:noProof w:val="0"/>
        </w:rPr>
        <w:t xml:space="preserve">Lower-powered incentives would not only discourage aggressive competition, </w:t>
      </w:r>
      <w:r w:rsidR="000E5FA4">
        <w:rPr>
          <w:rFonts w:cs="Times New Roman PS"/>
          <w:noProof w:val="0"/>
        </w:rPr>
        <w:t xml:space="preserve">but </w:t>
      </w:r>
      <w:r w:rsidRPr="005E6068">
        <w:rPr>
          <w:rFonts w:cs="Times New Roman PS"/>
          <w:noProof w:val="0"/>
        </w:rPr>
        <w:t>they would also discourage noncompetitive efforts to increase profits, such as through industry lobbying.</w:t>
      </w:r>
      <w:r w:rsidR="00DF0A04" w:rsidRPr="005E6068">
        <w:rPr>
          <w:rFonts w:cs="Times New Roman PS"/>
          <w:noProof w:val="0"/>
        </w:rPr>
        <w:t xml:space="preserve"> </w:t>
      </w:r>
      <w:r w:rsidRPr="005E6068">
        <w:rPr>
          <w:rFonts w:cs="Times New Roman PS"/>
          <w:noProof w:val="0"/>
        </w:rPr>
        <w:t xml:space="preserve">This is both counterintuitive and at least facially inconsistent with the publicly stated positions of large institutional </w:t>
      </w:r>
      <w:r w:rsidRPr="005E6068">
        <w:rPr>
          <w:rFonts w:cs="Times New Roman PS"/>
          <w:noProof w:val="0"/>
        </w:rPr>
        <w:lastRenderedPageBreak/>
        <w:t>investors.</w:t>
      </w:r>
      <w:r w:rsidR="00DF0A04" w:rsidRPr="005E6068">
        <w:rPr>
          <w:rFonts w:cs="Times New Roman PS"/>
          <w:noProof w:val="0"/>
        </w:rPr>
        <w:t xml:space="preserve"> </w:t>
      </w:r>
      <w:r w:rsidRPr="005E6068">
        <w:rPr>
          <w:rFonts w:cs="Times New Roman PS"/>
          <w:noProof w:val="0"/>
        </w:rPr>
        <w:t>Second, while compensation committees can easily adjust the level of RPE in current compensation contracts, their ability to manage WPS over the short to medium term is much more attenuated.</w:t>
      </w:r>
      <w:r w:rsidR="00DF0A04" w:rsidRPr="005E6068">
        <w:rPr>
          <w:rFonts w:cs="Times New Roman PS"/>
          <w:noProof w:val="0"/>
        </w:rPr>
        <w:t xml:space="preserve"> </w:t>
      </w:r>
      <w:r w:rsidRPr="005E6068">
        <w:rPr>
          <w:rFonts w:cs="Times New Roman PS"/>
          <w:noProof w:val="0"/>
        </w:rPr>
        <w:t>Thus, evidence based on short-term differences in WPS seems particularly difficult to square with the theory.</w:t>
      </w:r>
      <w:r w:rsidR="00DF0A04" w:rsidRPr="005E6068">
        <w:rPr>
          <w:rFonts w:cs="Times New Roman PS"/>
          <w:noProof w:val="0"/>
        </w:rPr>
        <w:t xml:space="preserve"> </w:t>
      </w:r>
      <w:r w:rsidRPr="005E6068">
        <w:rPr>
          <w:rFonts w:cs="Times New Roman PS"/>
          <w:noProof w:val="0"/>
        </w:rPr>
        <w:t>Third, it is very difficult to determine WPS associated with the complex performance</w:t>
      </w:r>
      <w:r w:rsidR="0053337A">
        <w:rPr>
          <w:rFonts w:cs="Times New Roman PS"/>
          <w:noProof w:val="0"/>
        </w:rPr>
        <w:t xml:space="preserve"> </w:t>
      </w:r>
      <w:r w:rsidRPr="005E6068">
        <w:rPr>
          <w:rFonts w:cs="Times New Roman PS"/>
          <w:noProof w:val="0"/>
        </w:rPr>
        <w:t xml:space="preserve">share awards that have come to dominate executive pay arrangements in recent years, and it is unclear whether or how empiricists have dealt with this problem. </w:t>
      </w:r>
    </w:p>
    <w:p w14:paraId="25060318" w14:textId="274D9EB3" w:rsidR="00E847CF" w:rsidRPr="005E6068" w:rsidRDefault="00E847CF" w:rsidP="001B39BE">
      <w:pPr>
        <w:pStyle w:val="Document"/>
        <w:rPr>
          <w:rFonts w:cs="Times New Roman PS"/>
          <w:noProof w:val="0"/>
        </w:rPr>
      </w:pPr>
      <w:r w:rsidRPr="005E6068">
        <w:rPr>
          <w:rFonts w:cs="Times New Roman PS"/>
          <w:noProof w:val="0"/>
        </w:rPr>
        <w:t xml:space="preserve">For the reasons discussed in Parts II and III, </w:t>
      </w:r>
      <w:r w:rsidR="008934D0">
        <w:rPr>
          <w:rFonts w:cs="Times New Roman PS"/>
          <w:noProof w:val="0"/>
        </w:rPr>
        <w:t>this Article</w:t>
      </w:r>
      <w:r w:rsidRPr="005E6068">
        <w:rPr>
          <w:rFonts w:cs="Times New Roman PS"/>
          <w:noProof w:val="0"/>
        </w:rPr>
        <w:t xml:space="preserve"> conclude</w:t>
      </w:r>
      <w:r w:rsidR="008934D0">
        <w:rPr>
          <w:rFonts w:cs="Times New Roman PS"/>
          <w:noProof w:val="0"/>
        </w:rPr>
        <w:t>s</w:t>
      </w:r>
      <w:r w:rsidRPr="005E6068">
        <w:rPr>
          <w:rFonts w:cs="Times New Roman PS"/>
          <w:noProof w:val="0"/>
        </w:rPr>
        <w:t xml:space="preserve"> that executive pay design is an implausible mechanism </w:t>
      </w:r>
      <w:r w:rsidR="008934D0">
        <w:rPr>
          <w:rFonts w:cs="Times New Roman PS"/>
          <w:noProof w:val="0"/>
        </w:rPr>
        <w:t xml:space="preserve">for </w:t>
      </w:r>
      <w:r w:rsidRPr="005E6068">
        <w:rPr>
          <w:rFonts w:cs="Times New Roman PS"/>
          <w:noProof w:val="0"/>
        </w:rPr>
        <w:t>linking common ownership to anticompetitive behavior.</w:t>
      </w:r>
      <w:r w:rsidR="00DF0A04" w:rsidRPr="005E6068">
        <w:rPr>
          <w:rFonts w:cs="Times New Roman PS"/>
          <w:noProof w:val="0"/>
        </w:rPr>
        <w:t xml:space="preserve"> </w:t>
      </w:r>
      <w:r w:rsidRPr="005E6068">
        <w:rPr>
          <w:rFonts w:cs="Times New Roman PS"/>
          <w:noProof w:val="0"/>
        </w:rPr>
        <w:t>From an empirical perspective, however, one can only say that such an association has not been convincingly demonstrated.</w:t>
      </w:r>
      <w:r w:rsidR="00DF0A04" w:rsidRPr="005E6068">
        <w:rPr>
          <w:rFonts w:cs="Times New Roman PS"/>
          <w:noProof w:val="0"/>
        </w:rPr>
        <w:t xml:space="preserve"> </w:t>
      </w:r>
      <w:r w:rsidRPr="005E6068">
        <w:rPr>
          <w:rFonts w:cs="Times New Roman PS"/>
          <w:noProof w:val="0"/>
        </w:rPr>
        <w:t>In the spirit of helping to resolve the question, Part IV offers several suggestions for improving future empirical work on the possible association.</w:t>
      </w:r>
      <w:r w:rsidR="00DF0A04" w:rsidRPr="005E6068">
        <w:rPr>
          <w:rFonts w:cs="Times New Roman PS"/>
          <w:noProof w:val="0"/>
        </w:rPr>
        <w:t xml:space="preserve"> </w:t>
      </w:r>
      <w:r w:rsidRPr="005E6068">
        <w:rPr>
          <w:rFonts w:cs="Times New Roman PS"/>
          <w:noProof w:val="0"/>
        </w:rPr>
        <w:t>This Part argues that a focus on RPE is more promising than a focus on WPS, although WPS should certainly serve as a control; that a convincing empirical strategy must include both implicit and explicit RPE; and that specific design features of explicit RPE-based compensation should be incorporated in future analyses.</w:t>
      </w:r>
      <w:r w:rsidR="00DF0A04" w:rsidRPr="005E6068">
        <w:rPr>
          <w:rFonts w:cs="Times New Roman PS"/>
          <w:noProof w:val="0"/>
        </w:rPr>
        <w:t xml:space="preserve"> </w:t>
      </w:r>
    </w:p>
    <w:p w14:paraId="72B16A03" w14:textId="021E6C1E" w:rsidR="00E847CF" w:rsidRPr="005E6068" w:rsidRDefault="00247A8B" w:rsidP="001B39BE">
      <w:pPr>
        <w:pStyle w:val="Document"/>
        <w:rPr>
          <w:rFonts w:cs="Times New Roman PS"/>
          <w:noProof w:val="0"/>
        </w:rPr>
      </w:pPr>
      <w:r w:rsidRPr="005E6068">
        <w:rPr>
          <w:rFonts w:cs="Times New Roman PS"/>
          <w:noProof w:val="0"/>
        </w:rPr>
        <w:t>This Article concludes by emphasizing</w:t>
      </w:r>
      <w:r w:rsidR="00E847CF" w:rsidRPr="005E6068">
        <w:rPr>
          <w:rFonts w:cs="Times New Roman PS"/>
          <w:noProof w:val="0"/>
        </w:rPr>
        <w:t xml:space="preserve"> the importance of the mechanism question to the broader debate.</w:t>
      </w:r>
      <w:r w:rsidR="00DF0A04" w:rsidRPr="005E6068">
        <w:rPr>
          <w:rFonts w:cs="Times New Roman PS"/>
          <w:noProof w:val="0"/>
        </w:rPr>
        <w:t xml:space="preserve"> </w:t>
      </w:r>
      <w:r w:rsidR="00E847CF" w:rsidRPr="005E6068">
        <w:rPr>
          <w:rFonts w:cs="Times New Roman PS"/>
          <w:noProof w:val="0"/>
        </w:rPr>
        <w:t xml:space="preserve">Commentators </w:t>
      </w:r>
      <w:r w:rsidR="000E2876">
        <w:rPr>
          <w:rFonts w:cs="Times New Roman PS"/>
          <w:noProof w:val="0"/>
        </w:rPr>
        <w:t>relying on</w:t>
      </w:r>
      <w:r w:rsidR="008934D0">
        <w:rPr>
          <w:rFonts w:cs="Times New Roman PS"/>
          <w:noProof w:val="0"/>
        </w:rPr>
        <w:t xml:space="preserve"> </w:t>
      </w:r>
      <w:r w:rsidR="00E847CF" w:rsidRPr="005E6068">
        <w:rPr>
          <w:rFonts w:cs="Times New Roman PS"/>
          <w:noProof w:val="0"/>
        </w:rPr>
        <w:t xml:space="preserve">executive pay design as the mechanism </w:t>
      </w:r>
      <w:r w:rsidR="008934D0">
        <w:rPr>
          <w:rFonts w:cs="Times New Roman PS"/>
          <w:noProof w:val="0"/>
        </w:rPr>
        <w:t>link</w:t>
      </w:r>
      <w:r w:rsidR="000E2876">
        <w:rPr>
          <w:rFonts w:cs="Times New Roman PS"/>
          <w:noProof w:val="0"/>
        </w:rPr>
        <w:t>ing</w:t>
      </w:r>
      <w:r w:rsidR="00E847CF" w:rsidRPr="005E6068">
        <w:rPr>
          <w:rFonts w:cs="Times New Roman PS"/>
          <w:noProof w:val="0"/>
        </w:rPr>
        <w:t xml:space="preserve"> common ownership to anticompetitive behavior</w:t>
      </w:r>
      <w:r w:rsidR="000E2876">
        <w:rPr>
          <w:rFonts w:cs="Times New Roman PS"/>
          <w:noProof w:val="0"/>
        </w:rPr>
        <w:t xml:space="preserve"> would be advised to consider other mechanisms</w:t>
      </w:r>
      <w:r w:rsidR="00E847CF" w:rsidRPr="005E6068">
        <w:rPr>
          <w:rFonts w:cs="Times New Roman PS"/>
          <w:noProof w:val="0"/>
        </w:rPr>
        <w:t>.</w:t>
      </w:r>
      <w:r w:rsidR="00DF0A04" w:rsidRPr="005E6068">
        <w:rPr>
          <w:rFonts w:cs="Times New Roman PS"/>
          <w:noProof w:val="0"/>
        </w:rPr>
        <w:t xml:space="preserve"> </w:t>
      </w:r>
      <w:r w:rsidR="00E847CF" w:rsidRPr="005E6068">
        <w:rPr>
          <w:rFonts w:cs="Times New Roman PS"/>
          <w:noProof w:val="0"/>
        </w:rPr>
        <w:t>In the meantime, one should be cautious in advocating regulatory intervention with respect to common</w:t>
      </w:r>
      <w:r w:rsidR="0053337A">
        <w:rPr>
          <w:rFonts w:cs="Times New Roman PS"/>
          <w:noProof w:val="0"/>
        </w:rPr>
        <w:t xml:space="preserve"> </w:t>
      </w:r>
      <w:r w:rsidR="00E847CF" w:rsidRPr="005E6068">
        <w:rPr>
          <w:rFonts w:cs="Times New Roman PS"/>
          <w:noProof w:val="0"/>
        </w:rPr>
        <w:t>ownership practices.</w:t>
      </w:r>
    </w:p>
    <w:p w14:paraId="1B3CDB12" w14:textId="77777777" w:rsidR="00E847CF" w:rsidRPr="005E6068" w:rsidRDefault="00E847CF" w:rsidP="001B39BE">
      <w:pPr>
        <w:pStyle w:val="SubHead1"/>
        <w:widowControl/>
        <w:outlineLvl w:val="0"/>
        <w:rPr>
          <w:noProof w:val="0"/>
        </w:rPr>
      </w:pPr>
      <w:bookmarkStart w:id="22" w:name="_Toc16064706"/>
      <w:bookmarkStart w:id="23" w:name="_Toc23780664"/>
      <w:r w:rsidRPr="005E6068">
        <w:rPr>
          <w:noProof w:val="0"/>
        </w:rPr>
        <w:t>I.</w:t>
      </w:r>
      <w:r w:rsidR="00F93AF1" w:rsidRPr="005E6068">
        <w:rPr>
          <w:noProof w:val="0"/>
        </w:rPr>
        <w:tab/>
      </w:r>
      <w:r w:rsidRPr="005E6068">
        <w:rPr>
          <w:noProof w:val="0"/>
        </w:rPr>
        <w:t>The Common Ownership and Competition Debate</w:t>
      </w:r>
      <w:bookmarkEnd w:id="22"/>
      <w:bookmarkEnd w:id="23"/>
    </w:p>
    <w:p w14:paraId="08ACFD43" w14:textId="2A5BE345" w:rsidR="00E847CF" w:rsidRPr="005E6068" w:rsidRDefault="00E847CF" w:rsidP="001B39BE">
      <w:pPr>
        <w:pStyle w:val="Document"/>
        <w:rPr>
          <w:rFonts w:cs="Times New Roman PS"/>
          <w:noProof w:val="0"/>
        </w:rPr>
      </w:pPr>
      <w:r w:rsidRPr="005E6068">
        <w:rPr>
          <w:rFonts w:cs="Times New Roman PS"/>
          <w:noProof w:val="0"/>
        </w:rPr>
        <w:t>This Part briefly surveys the growth in institutional common ownership of U.S. companies, the purported implications for product market competition, and the evidence.</w:t>
      </w:r>
      <w:r w:rsidR="00DF0A04" w:rsidRPr="005E6068">
        <w:rPr>
          <w:rFonts w:cs="Times New Roman PS"/>
          <w:noProof w:val="0"/>
        </w:rPr>
        <w:t xml:space="preserve"> </w:t>
      </w:r>
      <w:r w:rsidRPr="005E6068">
        <w:rPr>
          <w:rFonts w:cs="Times New Roman PS"/>
          <w:noProof w:val="0"/>
        </w:rPr>
        <w:t xml:space="preserve">It highlights the debate between commentators who favor regulatory intervention and those </w:t>
      </w:r>
      <w:r w:rsidR="000E5FA4">
        <w:rPr>
          <w:rFonts w:cs="Times New Roman PS"/>
          <w:noProof w:val="0"/>
        </w:rPr>
        <w:t>who</w:t>
      </w:r>
      <w:r w:rsidRPr="005E6068">
        <w:rPr>
          <w:rFonts w:cs="Times New Roman PS"/>
          <w:noProof w:val="0"/>
        </w:rPr>
        <w:t xml:space="preserve"> urge caution.</w:t>
      </w:r>
      <w:r w:rsidR="00DF0A04" w:rsidRPr="005E6068">
        <w:rPr>
          <w:rFonts w:cs="Times New Roman PS"/>
          <w:noProof w:val="0"/>
        </w:rPr>
        <w:t xml:space="preserve"> </w:t>
      </w:r>
      <w:r w:rsidRPr="005E6068">
        <w:rPr>
          <w:rFonts w:cs="Times New Roman PS"/>
          <w:noProof w:val="0"/>
        </w:rPr>
        <w:t>Finally, it homes in on the key question of the mechanism linking common ownership to anticompetitive behavior and the prominence of executive pay design as a leading mechanism.</w:t>
      </w:r>
    </w:p>
    <w:p w14:paraId="6F7C9DE6" w14:textId="4F647323" w:rsidR="00E847CF" w:rsidRPr="005E6068" w:rsidRDefault="00E847CF" w:rsidP="001B39BE">
      <w:pPr>
        <w:pStyle w:val="Document"/>
        <w:rPr>
          <w:rFonts w:cs="Times New Roman PS"/>
          <w:noProof w:val="0"/>
        </w:rPr>
      </w:pPr>
      <w:r w:rsidRPr="005E6068">
        <w:rPr>
          <w:rFonts w:cs="Times New Roman PS"/>
          <w:noProof w:val="0"/>
        </w:rPr>
        <w:t xml:space="preserve">As noted in the Introduction, institutional investor ownership of U.S. equities has increased dramatically in recent </w:t>
      </w:r>
      <w:r w:rsidR="005E6068" w:rsidRPr="005E6068">
        <w:rPr>
          <w:rFonts w:cs="Times New Roman PS"/>
          <w:noProof w:val="0"/>
        </w:rPr>
        <w:t>years. This</w:t>
      </w:r>
      <w:r w:rsidRPr="005E6068">
        <w:rPr>
          <w:rFonts w:cs="Times New Roman PS"/>
          <w:noProof w:val="0"/>
        </w:rPr>
        <w:t xml:space="preserve"> </w:t>
      </w:r>
      <w:r w:rsidR="000E5FA4">
        <w:rPr>
          <w:rFonts w:cs="Times New Roman PS"/>
          <w:noProof w:val="0"/>
        </w:rPr>
        <w:t>has</w:t>
      </w:r>
      <w:r w:rsidRPr="005E6068">
        <w:rPr>
          <w:rFonts w:cs="Times New Roman PS"/>
          <w:noProof w:val="0"/>
        </w:rPr>
        <w:t xml:space="preserve"> led to an equally dramatic increase in the number of cases in which common owners hold large positions in multiple companies within an industry.</w:t>
      </w:r>
      <w:r w:rsidR="00DF0A04" w:rsidRPr="005E6068">
        <w:rPr>
          <w:rFonts w:cs="Times New Roman PS"/>
          <w:noProof w:val="0"/>
        </w:rPr>
        <w:t xml:space="preserve"> </w:t>
      </w:r>
      <w:r w:rsidRPr="005E6068">
        <w:rPr>
          <w:rFonts w:cs="Times New Roman PS"/>
          <w:noProof w:val="0"/>
        </w:rPr>
        <w:t>Much of the growth in institutional equity ownership and common ownership is attributable to positions held by stock market index funds, the most rapidly growing segment of the institutional investor market.</w:t>
      </w:r>
      <w:bookmarkStart w:id="24" w:name="_Ref19899212"/>
      <w:bookmarkStart w:id="25" w:name="_Ref19647288"/>
      <w:bookmarkStart w:id="26" w:name="_Ref19042240"/>
      <w:bookmarkStart w:id="27" w:name="_Ref19694255"/>
      <w:r w:rsidRPr="00F155BE">
        <w:rPr>
          <w:rStyle w:val="NoterefInText"/>
        </w:rPr>
        <w:footnoteReference w:id="16"/>
      </w:r>
      <w:bookmarkEnd w:id="24"/>
      <w:bookmarkEnd w:id="25"/>
      <w:bookmarkEnd w:id="26"/>
      <w:bookmarkEnd w:id="27"/>
      <w:r w:rsidR="00DF0A04" w:rsidRPr="005E6068">
        <w:rPr>
          <w:rFonts w:cs="Times New Roman PS"/>
          <w:noProof w:val="0"/>
        </w:rPr>
        <w:t xml:space="preserve"> </w:t>
      </w:r>
      <w:r w:rsidRPr="005E6068">
        <w:rPr>
          <w:rFonts w:cs="Times New Roman PS"/>
          <w:noProof w:val="0"/>
        </w:rPr>
        <w:t xml:space="preserve">The modus operandi of index funds, of course, is to own all </w:t>
      </w:r>
      <w:r w:rsidRPr="005E6068">
        <w:rPr>
          <w:rFonts w:cs="Times New Roman PS"/>
          <w:noProof w:val="0"/>
        </w:rPr>
        <w:lastRenderedPageBreak/>
        <w:t>of the companies that the index tracks</w:t>
      </w:r>
      <w:r w:rsidR="008934D0">
        <w:rPr>
          <w:rFonts w:cs="Times"/>
          <w:noProof w:val="0"/>
        </w:rPr>
        <w:t>—</w:t>
      </w:r>
      <w:r w:rsidRPr="005E6068">
        <w:rPr>
          <w:rFonts w:cs="Times New Roman PS"/>
          <w:noProof w:val="0"/>
        </w:rPr>
        <w:t>that is, all of the companies included in the S&amp;P 500, the Russell 3000, or whatever index is selected.</w:t>
      </w:r>
      <w:r w:rsidRPr="00F155BE">
        <w:rPr>
          <w:rStyle w:val="NoterefInText"/>
        </w:rPr>
        <w:footnoteReference w:id="17"/>
      </w:r>
      <w:r w:rsidR="00DF0A04" w:rsidRPr="005E6068">
        <w:rPr>
          <w:rFonts w:cs="Times New Roman PS"/>
          <w:noProof w:val="0"/>
        </w:rPr>
        <w:t xml:space="preserve"> </w:t>
      </w:r>
      <w:r w:rsidRPr="005E6068">
        <w:rPr>
          <w:rFonts w:cs="Times New Roman PS"/>
          <w:noProof w:val="0"/>
        </w:rPr>
        <w:t xml:space="preserve">As a result, </w:t>
      </w:r>
      <w:r w:rsidR="00051AF8" w:rsidRPr="005E6068">
        <w:rPr>
          <w:rFonts w:cs="Times New Roman PS"/>
          <w:noProof w:val="0"/>
        </w:rPr>
        <w:t>index fund families</w:t>
      </w:r>
      <w:r w:rsidR="009A645E">
        <w:rPr>
          <w:rFonts w:cs="Times New Roman PS"/>
          <w:noProof w:val="0"/>
        </w:rPr>
        <w:t>’</w:t>
      </w:r>
      <w:r w:rsidRPr="005E6068">
        <w:rPr>
          <w:rFonts w:cs="Times New Roman PS"/>
          <w:noProof w:val="0"/>
        </w:rPr>
        <w:t xml:space="preserve"> common ownership of the leading companies in most industries is essentially inevitable.</w:t>
      </w:r>
      <w:r w:rsidR="00DF0A04" w:rsidRPr="005E6068">
        <w:rPr>
          <w:rFonts w:cs="Times New Roman PS"/>
          <w:noProof w:val="0"/>
        </w:rPr>
        <w:t xml:space="preserve"> </w:t>
      </w:r>
      <w:r w:rsidRPr="005E6068">
        <w:rPr>
          <w:rFonts w:cs="Times New Roman PS"/>
          <w:noProof w:val="0"/>
        </w:rPr>
        <w:t xml:space="preserve">According to a recent study, the holdings of the </w:t>
      </w:r>
      <w:r w:rsidR="009A645E">
        <w:rPr>
          <w:rFonts w:cs="Times New Roman PS"/>
          <w:noProof w:val="0"/>
        </w:rPr>
        <w:t>“</w:t>
      </w:r>
      <w:r w:rsidRPr="005E6068">
        <w:rPr>
          <w:rFonts w:cs="Times New Roman PS"/>
          <w:noProof w:val="0"/>
        </w:rPr>
        <w:t>Big Three</w:t>
      </w:r>
      <w:r w:rsidR="009A645E">
        <w:rPr>
          <w:rFonts w:cs="Times New Roman PS"/>
          <w:noProof w:val="0"/>
        </w:rPr>
        <w:t>”</w:t>
      </w:r>
      <w:r w:rsidR="002370EB">
        <w:rPr>
          <w:rFonts w:cs="Times New Roman PS"/>
          <w:noProof w:val="0"/>
        </w:rPr>
        <w:t xml:space="preserve"> index fund families—BlackRock</w:t>
      </w:r>
      <w:r w:rsidRPr="005E6068">
        <w:rPr>
          <w:rFonts w:cs="Times New Roman PS"/>
          <w:noProof w:val="0"/>
        </w:rPr>
        <w:t xml:space="preserve">, </w:t>
      </w:r>
      <w:r w:rsidR="000E5FA4">
        <w:rPr>
          <w:rFonts w:cs="Times New Roman PS"/>
          <w:noProof w:val="0"/>
        </w:rPr>
        <w:t xml:space="preserve">State Street, and </w:t>
      </w:r>
      <w:r w:rsidRPr="005E6068">
        <w:rPr>
          <w:rFonts w:cs="Times New Roman PS"/>
          <w:noProof w:val="0"/>
        </w:rPr>
        <w:t>Vanguard</w:t>
      </w:r>
      <w:r w:rsidR="002370EB">
        <w:rPr>
          <w:rFonts w:cs="Times New Roman PS"/>
          <w:noProof w:val="0"/>
        </w:rPr>
        <w:t>—t</w:t>
      </w:r>
      <w:r w:rsidRPr="005E6068">
        <w:rPr>
          <w:rFonts w:cs="Times New Roman PS"/>
          <w:noProof w:val="0"/>
        </w:rPr>
        <w:t>aken</w:t>
      </w:r>
      <w:r w:rsidR="002370EB">
        <w:rPr>
          <w:rFonts w:cs="Times New Roman PS"/>
          <w:noProof w:val="0"/>
        </w:rPr>
        <w:t xml:space="preserve"> </w:t>
      </w:r>
      <w:r w:rsidRPr="005E6068">
        <w:rPr>
          <w:rFonts w:cs="Times New Roman PS"/>
          <w:noProof w:val="0"/>
        </w:rPr>
        <w:t>together would represent the largest shareholder of 438 of the S&amp;P 500 companies.</w:t>
      </w:r>
      <w:bookmarkStart w:id="28" w:name="_Ref19042250"/>
      <w:r w:rsidRPr="00F155BE">
        <w:rPr>
          <w:rStyle w:val="NoterefInText"/>
        </w:rPr>
        <w:footnoteReference w:id="18"/>
      </w:r>
      <w:bookmarkEnd w:id="28"/>
      <w:r w:rsidR="00DF0A04" w:rsidRPr="005E6068">
        <w:rPr>
          <w:rFonts w:cs="Times New Roman PS"/>
          <w:noProof w:val="0"/>
        </w:rPr>
        <w:t xml:space="preserve"> </w:t>
      </w:r>
    </w:p>
    <w:p w14:paraId="1AC260FD" w14:textId="7B553362" w:rsidR="00E847CF" w:rsidRPr="005E6068" w:rsidRDefault="00051AF8" w:rsidP="001B39BE">
      <w:pPr>
        <w:pStyle w:val="Document"/>
        <w:rPr>
          <w:rFonts w:cs="Times New Roman PS"/>
          <w:noProof w:val="0"/>
        </w:rPr>
      </w:pPr>
      <w:r w:rsidRPr="005E6068">
        <w:rPr>
          <w:rFonts w:cs="Times New Roman PS"/>
          <w:noProof w:val="0"/>
        </w:rPr>
        <w:t xml:space="preserve">Recent papers by </w:t>
      </w:r>
      <w:r w:rsidR="002A7835" w:rsidRPr="002A7835">
        <w:rPr>
          <w:rFonts w:cs="Times New Roman PS"/>
          <w:noProof w:val="0"/>
        </w:rPr>
        <w:t>José Azar, Martin C. Schmalz</w:t>
      </w:r>
      <w:r w:rsidR="002A7835">
        <w:rPr>
          <w:rFonts w:cs="Times New Roman PS"/>
          <w:noProof w:val="0"/>
        </w:rPr>
        <w:t>, and</w:t>
      </w:r>
      <w:r w:rsidR="002A7835" w:rsidRPr="002A7835">
        <w:rPr>
          <w:rFonts w:cs="Times New Roman PS"/>
          <w:noProof w:val="0"/>
        </w:rPr>
        <w:t xml:space="preserve"> Isabel Tecu </w:t>
      </w:r>
      <w:r w:rsidRPr="005E6068">
        <w:rPr>
          <w:rFonts w:cs="Times New Roman PS"/>
          <w:noProof w:val="0"/>
        </w:rPr>
        <w:t xml:space="preserve">and by Azar, </w:t>
      </w:r>
      <w:r w:rsidR="002A7835">
        <w:rPr>
          <w:rFonts w:cs="Times New Roman PS"/>
          <w:noProof w:val="0"/>
        </w:rPr>
        <w:t xml:space="preserve">Sahil </w:t>
      </w:r>
      <w:r w:rsidRPr="005E6068">
        <w:rPr>
          <w:rFonts w:cs="Times New Roman PS"/>
          <w:noProof w:val="0"/>
        </w:rPr>
        <w:t>Raina, and Schmalz sparked c</w:t>
      </w:r>
      <w:r w:rsidR="00E847CF" w:rsidRPr="005E6068">
        <w:rPr>
          <w:rFonts w:cs="Times New Roman PS"/>
          <w:noProof w:val="0"/>
        </w:rPr>
        <w:t>oncern about the possible anticompetitive aspects of increasing common ownership.</w:t>
      </w:r>
      <w:r w:rsidR="00E847CF" w:rsidRPr="00F155BE">
        <w:rPr>
          <w:rStyle w:val="NoterefInText"/>
        </w:rPr>
        <w:footnoteReference w:id="19"/>
      </w:r>
      <w:r w:rsidR="00DF0A04" w:rsidRPr="005E6068">
        <w:rPr>
          <w:rFonts w:cs="Times New Roman PS"/>
          <w:noProof w:val="0"/>
        </w:rPr>
        <w:t xml:space="preserve"> </w:t>
      </w:r>
      <w:r w:rsidR="00E847CF" w:rsidRPr="005E6068">
        <w:rPr>
          <w:rFonts w:cs="Times New Roman PS"/>
          <w:noProof w:val="0"/>
        </w:rPr>
        <w:t>As Azar, Schmalz, and Tecu explain:</w:t>
      </w:r>
    </w:p>
    <w:p w14:paraId="2E0F9B0F" w14:textId="1A7BF574" w:rsidR="00E847CF" w:rsidRPr="000E2876" w:rsidRDefault="008E7014" w:rsidP="001B39BE">
      <w:pPr>
        <w:pStyle w:val="1StQuoteTXT"/>
      </w:pPr>
      <w:r>
        <w:t>[W]</w:t>
      </w:r>
      <w:r w:rsidR="00E847CF" w:rsidRPr="005E6068">
        <w:t xml:space="preserve">ithin-industry diversification of influential shareholders can lead to less competition </w:t>
      </w:r>
      <w:r w:rsidR="00E847CF" w:rsidRPr="000E2876">
        <w:t>in portfolio firms</w:t>
      </w:r>
      <w:r w:rsidR="009A645E" w:rsidRPr="000E2876">
        <w:t>’</w:t>
      </w:r>
      <w:r w:rsidR="00E847CF" w:rsidRPr="000E2876">
        <w:t xml:space="preserve"> product markets. To see why, imagine an industry with two equal-sized firms, A and </w:t>
      </w:r>
      <w:r w:rsidR="00EA4F2A" w:rsidRPr="000E2876">
        <w:t>B</w:t>
      </w:r>
      <w:r w:rsidR="00E847CF" w:rsidRPr="000E2876">
        <w:t xml:space="preserve">. Suppose </w:t>
      </w:r>
      <w:r w:rsidR="00EA4F2A" w:rsidRPr="000E2876">
        <w:t>A</w:t>
      </w:r>
      <w:r w:rsidR="00E847CF" w:rsidRPr="000E2876">
        <w:t xml:space="preserve"> undercuts </w:t>
      </w:r>
      <w:r w:rsidR="00EA4F2A" w:rsidRPr="000E2876">
        <w:t>B</w:t>
      </w:r>
      <w:r w:rsidR="009A645E" w:rsidRPr="000E2876">
        <w:t>’</w:t>
      </w:r>
      <w:r w:rsidR="00E847CF" w:rsidRPr="000E2876">
        <w:t xml:space="preserve">s price to attract customers from </w:t>
      </w:r>
      <w:r w:rsidR="00EA4F2A" w:rsidRPr="000E2876">
        <w:t>B</w:t>
      </w:r>
      <w:r w:rsidR="00E847CF" w:rsidRPr="000E2876">
        <w:t xml:space="preserve"> and thus gain market share. Depending on the parameters, firm </w:t>
      </w:r>
      <w:r w:rsidR="00EA4F2A" w:rsidRPr="000E2876">
        <w:t>A</w:t>
      </w:r>
      <w:r w:rsidR="00E847CF" w:rsidRPr="000E2876">
        <w:t xml:space="preserve"> may benefit from such a move by selling many more units of a product at an only slightly reduced price. Variations of this logic are </w:t>
      </w:r>
      <w:r w:rsidR="005E6068" w:rsidRPr="000E2876">
        <w:t>the basis</w:t>
      </w:r>
      <w:r w:rsidR="00E847CF" w:rsidRPr="000E2876">
        <w:t xml:space="preserve"> for many standard models of competition.</w:t>
      </w:r>
    </w:p>
    <w:p w14:paraId="781A071A" w14:textId="322D632D" w:rsidR="00053064" w:rsidRDefault="00EA4F2A" w:rsidP="00DE6B8E">
      <w:pPr>
        <w:pStyle w:val="1StQuoteTXT"/>
        <w:ind w:left="216" w:right="216" w:firstLine="216"/>
      </w:pPr>
      <w:r w:rsidRPr="000E2876">
        <w:t>However, A</w:t>
      </w:r>
      <w:r w:rsidR="009A645E" w:rsidRPr="000E2876">
        <w:t>’</w:t>
      </w:r>
      <w:r w:rsidR="00E847CF" w:rsidRPr="000E2876">
        <w:t>s gain in market shar</w:t>
      </w:r>
      <w:r w:rsidRPr="000E2876">
        <w:t>e comes at the expense of firm B</w:t>
      </w:r>
      <w:r w:rsidR="009A645E" w:rsidRPr="000E2876">
        <w:t>’</w:t>
      </w:r>
      <w:r w:rsidR="00E847CF" w:rsidRPr="000E2876">
        <w:t xml:space="preserve">s market share, and average prices in the market are lower. As a result, the owner of firm </w:t>
      </w:r>
      <w:r w:rsidRPr="000E2876">
        <w:t>B</w:t>
      </w:r>
      <w:r w:rsidR="00E847CF" w:rsidRPr="000E2876">
        <w:t xml:space="preserve"> loses more revenue than the owner of firm </w:t>
      </w:r>
      <w:r w:rsidRPr="000E2876">
        <w:t>A</w:t>
      </w:r>
      <w:r w:rsidR="00E847CF" w:rsidRPr="000E2876">
        <w:t xml:space="preserve"> gains and thus the sum of </w:t>
      </w:r>
      <w:r w:rsidRPr="000E2876">
        <w:t>A</w:t>
      </w:r>
      <w:r w:rsidR="009A645E" w:rsidRPr="000E2876">
        <w:t>’</w:t>
      </w:r>
      <w:r w:rsidR="00E847CF" w:rsidRPr="000E2876">
        <w:t xml:space="preserve">s and </w:t>
      </w:r>
      <w:r w:rsidRPr="000E2876">
        <w:t>B</w:t>
      </w:r>
      <w:r w:rsidR="009A645E" w:rsidRPr="000E2876">
        <w:t>’</w:t>
      </w:r>
      <w:r w:rsidR="00E847CF" w:rsidRPr="000E2876">
        <w:t>s producer rents falls. This means that an investor hold</w:t>
      </w:r>
      <w:r w:rsidRPr="000E2876">
        <w:t>ing equal-sized stakes in both A</w:t>
      </w:r>
      <w:r w:rsidR="00E847CF" w:rsidRPr="000E2876">
        <w:t xml:space="preserve"> and </w:t>
      </w:r>
      <w:r w:rsidRPr="000E2876">
        <w:t>B</w:t>
      </w:r>
      <w:r w:rsidR="00E847CF" w:rsidRPr="000E2876">
        <w:t xml:space="preserve"> would enjoy greater total (i.e., portfolio) profits if the two firms set prices or quantities as if they were two divisions of a monopoly instead of as two independent firms. We therefore expect less competition compared to the standard model, to the extent that shareholders are diversified across natural competitors and portfolio firms act in their diversified shareholders</w:t>
      </w:r>
      <w:r w:rsidR="009A645E" w:rsidRPr="000E2876">
        <w:t>’</w:t>
      </w:r>
      <w:r w:rsidR="00E847CF" w:rsidRPr="005E6068">
        <w:t xml:space="preserve"> interest.</w:t>
      </w:r>
      <w:r w:rsidR="00E847CF" w:rsidRPr="00F155BE">
        <w:rPr>
          <w:rStyle w:val="NoterefInText"/>
        </w:rPr>
        <w:footnoteReference w:id="20"/>
      </w:r>
    </w:p>
    <w:p w14:paraId="27BC5D6D" w14:textId="22D3C5C9" w:rsidR="00E847CF" w:rsidRPr="005E6068" w:rsidRDefault="00E847CF" w:rsidP="001B39BE">
      <w:pPr>
        <w:pStyle w:val="Document"/>
        <w:rPr>
          <w:rFonts w:cs="Times New Roman PS"/>
          <w:noProof w:val="0"/>
        </w:rPr>
      </w:pPr>
      <w:r w:rsidRPr="005E6068">
        <w:rPr>
          <w:rFonts w:cs="Times New Roman PS"/>
          <w:noProof w:val="0"/>
        </w:rPr>
        <w:t>In their empirical analyses, these authors find associations between institutional</w:t>
      </w:r>
      <w:r w:rsidR="0053337A">
        <w:rPr>
          <w:rFonts w:cs="Times New Roman PS"/>
          <w:noProof w:val="0"/>
        </w:rPr>
        <w:t xml:space="preserve"> </w:t>
      </w:r>
      <w:r w:rsidRPr="005E6068">
        <w:rPr>
          <w:rFonts w:cs="Times New Roman PS"/>
          <w:noProof w:val="0"/>
        </w:rPr>
        <w:t>investor common ownership and reduced competition between companies in the airline and banking industries.</w:t>
      </w:r>
      <w:r w:rsidRPr="00F155BE">
        <w:rPr>
          <w:rStyle w:val="NoterefInText"/>
        </w:rPr>
        <w:footnoteReference w:id="21"/>
      </w:r>
      <w:r w:rsidR="00DF0A04" w:rsidRPr="005E6068">
        <w:rPr>
          <w:rFonts w:cs="Times New Roman PS"/>
          <w:noProof w:val="0"/>
        </w:rPr>
        <w:t xml:space="preserve"> </w:t>
      </w:r>
      <w:r w:rsidRPr="005E6068">
        <w:rPr>
          <w:rFonts w:cs="Times New Roman PS"/>
          <w:noProof w:val="0"/>
        </w:rPr>
        <w:t>Specifically, Azar, Schmalz</w:t>
      </w:r>
      <w:r w:rsidR="003E3742">
        <w:rPr>
          <w:rFonts w:cs="Times New Roman PS"/>
          <w:noProof w:val="0"/>
        </w:rPr>
        <w:t>,</w:t>
      </w:r>
      <w:r w:rsidRPr="005E6068">
        <w:rPr>
          <w:rFonts w:cs="Times New Roman PS"/>
          <w:noProof w:val="0"/>
        </w:rPr>
        <w:t xml:space="preserve"> and Tecu find that taking common ownership into account results in market </w:t>
      </w:r>
      <w:r w:rsidRPr="005E6068">
        <w:rPr>
          <w:rFonts w:cs="Times New Roman PS"/>
          <w:noProof w:val="0"/>
        </w:rPr>
        <w:lastRenderedPageBreak/>
        <w:t xml:space="preserve">concentration within the U.S. airline industry that is ten times larger than the level presumed to be likely to enhance market power per </w:t>
      </w:r>
      <w:r w:rsidR="008B15F5">
        <w:rPr>
          <w:rFonts w:cs="Times New Roman PS"/>
          <w:noProof w:val="0"/>
        </w:rPr>
        <w:t>Federal Trade Commission and Department of Justice</w:t>
      </w:r>
      <w:r w:rsidRPr="005E6068">
        <w:rPr>
          <w:rFonts w:cs="Times New Roman PS"/>
          <w:noProof w:val="0"/>
        </w:rPr>
        <w:t xml:space="preserve"> guidelines.</w:t>
      </w:r>
      <w:r w:rsidRPr="00F155BE">
        <w:rPr>
          <w:rStyle w:val="NoterefInText"/>
        </w:rPr>
        <w:footnoteReference w:id="22"/>
      </w:r>
      <w:r w:rsidR="00DF0A04" w:rsidRPr="005E6068">
        <w:rPr>
          <w:rFonts w:cs="Times New Roman PS"/>
          <w:noProof w:val="0"/>
        </w:rPr>
        <w:t xml:space="preserve"> </w:t>
      </w:r>
      <w:r w:rsidRPr="005E6068">
        <w:rPr>
          <w:rFonts w:cs="Times New Roman PS"/>
          <w:noProof w:val="0"/>
        </w:rPr>
        <w:t>And they produce evidence of a positive association between ticket prices and the degree of common ownership of airlines serving various routes.</w:t>
      </w:r>
      <w:r w:rsidRPr="00F155BE">
        <w:rPr>
          <w:rStyle w:val="NoterefInText"/>
        </w:rPr>
        <w:footnoteReference w:id="23"/>
      </w:r>
      <w:r w:rsidR="00DF0A04" w:rsidRPr="005E6068">
        <w:rPr>
          <w:rFonts w:cs="Times New Roman PS"/>
          <w:noProof w:val="0"/>
        </w:rPr>
        <w:t xml:space="preserve"> </w:t>
      </w:r>
      <w:r w:rsidRPr="005E6068">
        <w:rPr>
          <w:rFonts w:cs="Times New Roman PS"/>
          <w:noProof w:val="0"/>
        </w:rPr>
        <w:t>Azar, Raina</w:t>
      </w:r>
      <w:r w:rsidR="00DC6BCC">
        <w:rPr>
          <w:rFonts w:cs="Times New Roman PS"/>
          <w:noProof w:val="0"/>
        </w:rPr>
        <w:t>,</w:t>
      </w:r>
      <w:r w:rsidRPr="005E6068">
        <w:rPr>
          <w:rFonts w:cs="Times New Roman PS"/>
          <w:noProof w:val="0"/>
        </w:rPr>
        <w:t xml:space="preserve"> and Schmalz examine the impact of common ownership and cross-ownership of U.S. banks and find that</w:t>
      </w:r>
      <w:r w:rsidR="00370C62" w:rsidRPr="005E6068">
        <w:rPr>
          <w:rFonts w:cs="Times New Roman PS"/>
          <w:noProof w:val="0"/>
        </w:rPr>
        <w:t>, taking these ownership features into account,</w:t>
      </w:r>
      <w:r w:rsidRPr="005E6068">
        <w:rPr>
          <w:rFonts w:cs="Times New Roman PS"/>
          <w:noProof w:val="0"/>
        </w:rPr>
        <w:t xml:space="preserve"> regional industry concentration</w:t>
      </w:r>
      <w:r w:rsidR="00370C62" w:rsidRPr="005E6068">
        <w:rPr>
          <w:rFonts w:cs="Times New Roman PS"/>
          <w:noProof w:val="0"/>
        </w:rPr>
        <w:t xml:space="preserve"> </w:t>
      </w:r>
      <w:r w:rsidRPr="005E6068">
        <w:rPr>
          <w:rFonts w:cs="Times New Roman PS"/>
          <w:noProof w:val="0"/>
        </w:rPr>
        <w:t>is correlated with bank fees and deposit thresholds.</w:t>
      </w:r>
      <w:r w:rsidRPr="00F155BE">
        <w:rPr>
          <w:rStyle w:val="NoterefInText"/>
        </w:rPr>
        <w:footnoteReference w:id="24"/>
      </w:r>
    </w:p>
    <w:p w14:paraId="0058E350" w14:textId="51056F92" w:rsidR="00E847CF" w:rsidRPr="005E6068" w:rsidRDefault="00E847CF" w:rsidP="001B39BE">
      <w:pPr>
        <w:pStyle w:val="Document"/>
        <w:rPr>
          <w:rFonts w:cs="Times New Roman PS"/>
          <w:noProof w:val="0"/>
        </w:rPr>
      </w:pPr>
      <w:r w:rsidRPr="005E6068">
        <w:rPr>
          <w:rFonts w:cs="Times New Roman PS"/>
          <w:noProof w:val="0"/>
        </w:rPr>
        <w:t>These pap</w:t>
      </w:r>
      <w:r w:rsidR="0062679A">
        <w:rPr>
          <w:rFonts w:cs="Times New Roman PS"/>
          <w:noProof w:val="0"/>
        </w:rPr>
        <w:t>ers have been highly influential</w:t>
      </w:r>
      <w:r w:rsidR="000E2876">
        <w:rPr>
          <w:rFonts w:cs="Times New Roman PS"/>
          <w:noProof w:val="0"/>
        </w:rPr>
        <w:t>,</w:t>
      </w:r>
      <w:r w:rsidRPr="005E6068">
        <w:rPr>
          <w:rFonts w:cs="Times New Roman PS"/>
          <w:noProof w:val="0"/>
        </w:rPr>
        <w:t xml:space="preserve"> but also controversial.</w:t>
      </w:r>
      <w:r w:rsidR="00DF0A04" w:rsidRPr="005E6068">
        <w:rPr>
          <w:rFonts w:cs="Times New Roman PS"/>
          <w:noProof w:val="0"/>
        </w:rPr>
        <w:t xml:space="preserve"> </w:t>
      </w:r>
      <w:r w:rsidRPr="005E6068">
        <w:rPr>
          <w:rFonts w:cs="Times New Roman PS"/>
          <w:noProof w:val="0"/>
        </w:rPr>
        <w:t>Several researchers have questioned the strength of the empirical evidence and/or the theoretical underpinnings.</w:t>
      </w:r>
      <w:r w:rsidR="00DF0A04" w:rsidRPr="005E6068">
        <w:rPr>
          <w:rFonts w:cs="Times New Roman PS"/>
          <w:noProof w:val="0"/>
        </w:rPr>
        <w:t xml:space="preserve"> </w:t>
      </w:r>
      <w:r w:rsidRPr="005E6068">
        <w:rPr>
          <w:rFonts w:cs="Times New Roman PS"/>
          <w:noProof w:val="0"/>
        </w:rPr>
        <w:t xml:space="preserve">For example, </w:t>
      </w:r>
      <w:r w:rsidR="00474C40">
        <w:rPr>
          <w:rFonts w:cs="Times New Roman PS"/>
          <w:noProof w:val="0"/>
        </w:rPr>
        <w:t xml:space="preserve">Daniel </w:t>
      </w:r>
      <w:r w:rsidRPr="005E6068">
        <w:rPr>
          <w:rFonts w:cs="Times New Roman PS"/>
          <w:noProof w:val="0"/>
        </w:rPr>
        <w:t>O</w:t>
      </w:r>
      <w:r w:rsidR="009A645E">
        <w:rPr>
          <w:rFonts w:cs="Times New Roman PS"/>
          <w:noProof w:val="0"/>
        </w:rPr>
        <w:t>’</w:t>
      </w:r>
      <w:r w:rsidRPr="005E6068">
        <w:rPr>
          <w:rFonts w:cs="Times New Roman PS"/>
          <w:noProof w:val="0"/>
        </w:rPr>
        <w:t xml:space="preserve">Brien and </w:t>
      </w:r>
      <w:r w:rsidR="00474C40">
        <w:rPr>
          <w:rFonts w:cs="Times New Roman PS"/>
          <w:noProof w:val="0"/>
        </w:rPr>
        <w:t xml:space="preserve">Keith </w:t>
      </w:r>
      <w:r w:rsidRPr="005E6068">
        <w:rPr>
          <w:rFonts w:cs="Times New Roman PS"/>
          <w:noProof w:val="0"/>
        </w:rPr>
        <w:t xml:space="preserve">Waehrer argue that the regressions in these papers are misspecified in </w:t>
      </w:r>
      <w:r w:rsidR="005A46BC">
        <w:rPr>
          <w:rFonts w:cs="Times New Roman PS"/>
          <w:noProof w:val="0"/>
        </w:rPr>
        <w:t xml:space="preserve">such </w:t>
      </w:r>
      <w:r w:rsidRPr="005E6068">
        <w:rPr>
          <w:rFonts w:cs="Times New Roman PS"/>
          <w:noProof w:val="0"/>
        </w:rPr>
        <w:t xml:space="preserve">a way </w:t>
      </w:r>
      <w:r w:rsidR="005A46BC">
        <w:rPr>
          <w:rFonts w:cs="Times New Roman PS"/>
          <w:noProof w:val="0"/>
        </w:rPr>
        <w:t>as to</w:t>
      </w:r>
      <w:r w:rsidRPr="005E6068">
        <w:rPr>
          <w:rFonts w:cs="Times New Roman PS"/>
          <w:noProof w:val="0"/>
        </w:rPr>
        <w:t xml:space="preserve"> lead to a correlation between common ownership and product prices even if there is no causal connection.</w:t>
      </w:r>
      <w:bookmarkStart w:id="29" w:name="_Ref19042259"/>
      <w:r w:rsidRPr="00F155BE">
        <w:rPr>
          <w:rStyle w:val="NoterefInText"/>
        </w:rPr>
        <w:footnoteReference w:id="25"/>
      </w:r>
      <w:bookmarkEnd w:id="29"/>
      <w:r w:rsidR="00DF0A04" w:rsidRPr="005E6068">
        <w:rPr>
          <w:rFonts w:cs="Times New Roman PS"/>
          <w:noProof w:val="0"/>
        </w:rPr>
        <w:t xml:space="preserve"> </w:t>
      </w:r>
      <w:r w:rsidRPr="005E6068">
        <w:rPr>
          <w:rFonts w:cs="Times New Roman PS"/>
          <w:noProof w:val="0"/>
        </w:rPr>
        <w:t xml:space="preserve">More generally, they question the use of the </w:t>
      </w:r>
      <w:r w:rsidR="008B15F5">
        <w:rPr>
          <w:rFonts w:cs="Times New Roman PS"/>
          <w:noProof w:val="0"/>
        </w:rPr>
        <w:t>m</w:t>
      </w:r>
      <w:r w:rsidRPr="005E6068">
        <w:rPr>
          <w:rFonts w:cs="Times New Roman PS"/>
          <w:noProof w:val="0"/>
        </w:rPr>
        <w:t>odified Herfindahl-Hirschman Index (</w:t>
      </w:r>
      <w:r w:rsidR="009A645E">
        <w:rPr>
          <w:rFonts w:cs="Times New Roman PS"/>
          <w:noProof w:val="0"/>
        </w:rPr>
        <w:t>“</w:t>
      </w:r>
      <w:r w:rsidRPr="005E6068">
        <w:rPr>
          <w:rFonts w:cs="Times New Roman PS"/>
          <w:noProof w:val="0"/>
        </w:rPr>
        <w:t>MHHI</w:t>
      </w:r>
      <w:r w:rsidR="009A645E">
        <w:rPr>
          <w:rFonts w:cs="Times New Roman PS"/>
          <w:noProof w:val="0"/>
        </w:rPr>
        <w:t>”</w:t>
      </w:r>
      <w:r w:rsidRPr="005E6068">
        <w:rPr>
          <w:rFonts w:cs="Times New Roman PS"/>
          <w:noProof w:val="0"/>
        </w:rPr>
        <w:t xml:space="preserve">) as the measure of common ownership in these papers, arguing that </w:t>
      </w:r>
      <w:r w:rsidR="0062679A">
        <w:rPr>
          <w:rFonts w:cs="Times New Roman PS"/>
          <w:noProof w:val="0"/>
        </w:rPr>
        <w:t xml:space="preserve">the </w:t>
      </w:r>
      <w:r w:rsidRPr="005E6068">
        <w:rPr>
          <w:rFonts w:cs="Times New Roman PS"/>
          <w:noProof w:val="0"/>
        </w:rPr>
        <w:t xml:space="preserve">MHHI </w:t>
      </w:r>
      <w:r w:rsidR="00751078">
        <w:rPr>
          <w:rFonts w:cs="Times New Roman PS"/>
          <w:noProof w:val="0"/>
        </w:rPr>
        <w:t>“</w:t>
      </w:r>
      <w:r w:rsidRPr="005E6068">
        <w:rPr>
          <w:rFonts w:cs="Times New Roman PS"/>
          <w:noProof w:val="0"/>
        </w:rPr>
        <w:t>does not provide a reliable prediction of the effects of common ownership</w:t>
      </w:r>
      <w:r w:rsidR="009A645E">
        <w:rPr>
          <w:rFonts w:cs="Times New Roman PS"/>
          <w:noProof w:val="0"/>
        </w:rPr>
        <w:t>”</w:t>
      </w:r>
      <w:r w:rsidRPr="005E6068">
        <w:rPr>
          <w:rFonts w:cs="Times New Roman PS"/>
          <w:noProof w:val="0"/>
        </w:rPr>
        <w:t xml:space="preserve"> on product prices in oligopolistic markets.</w:t>
      </w:r>
      <w:bookmarkStart w:id="30" w:name="_Ref19215500"/>
      <w:r w:rsidRPr="00F155BE">
        <w:rPr>
          <w:rStyle w:val="NoterefInText"/>
        </w:rPr>
        <w:footnoteReference w:id="26"/>
      </w:r>
      <w:bookmarkEnd w:id="30"/>
      <w:r w:rsidR="00DF0A04" w:rsidRPr="005E6068">
        <w:rPr>
          <w:rFonts w:cs="Times New Roman PS"/>
          <w:noProof w:val="0"/>
        </w:rPr>
        <w:t xml:space="preserve"> </w:t>
      </w:r>
      <w:r w:rsidR="00474C40">
        <w:rPr>
          <w:rFonts w:cs="Times New Roman PS"/>
          <w:noProof w:val="0"/>
        </w:rPr>
        <w:t xml:space="preserve">Edward </w:t>
      </w:r>
      <w:r w:rsidRPr="005E6068">
        <w:rPr>
          <w:rFonts w:cs="Times New Roman PS"/>
          <w:noProof w:val="0"/>
        </w:rPr>
        <w:t xml:space="preserve">Rock and </w:t>
      </w:r>
      <w:r w:rsidR="00474C40">
        <w:rPr>
          <w:rFonts w:cs="Times New Roman PS"/>
          <w:noProof w:val="0"/>
        </w:rPr>
        <w:t xml:space="preserve">Daniel </w:t>
      </w:r>
      <w:r w:rsidRPr="005E6068">
        <w:rPr>
          <w:rFonts w:cs="Times New Roman PS"/>
          <w:noProof w:val="0"/>
        </w:rPr>
        <w:t xml:space="preserve">Rubinfeld argue that managers </w:t>
      </w:r>
      <w:r w:rsidRPr="005E6068">
        <w:rPr>
          <w:rFonts w:cs="Times New Roman PS"/>
          <w:noProof w:val="0"/>
        </w:rPr>
        <w:lastRenderedPageBreak/>
        <w:t>are unlikely to take investor common</w:t>
      </w:r>
      <w:r w:rsidR="0053337A">
        <w:rPr>
          <w:rFonts w:cs="Times New Roman PS"/>
          <w:noProof w:val="0"/>
        </w:rPr>
        <w:t xml:space="preserve"> </w:t>
      </w:r>
      <w:r w:rsidRPr="005E6068">
        <w:rPr>
          <w:rFonts w:cs="Times New Roman PS"/>
          <w:noProof w:val="0"/>
        </w:rPr>
        <w:t>ownership incentives into account given the conflicting and constantly changing positions of their institutional shareholders, including interests in suppliers and customers of these companies.</w:t>
      </w:r>
      <w:bookmarkStart w:id="31" w:name="_Ref19191960"/>
      <w:bookmarkStart w:id="32" w:name="_Ref19042270"/>
      <w:r w:rsidRPr="00F155BE">
        <w:rPr>
          <w:rStyle w:val="NoterefInText"/>
        </w:rPr>
        <w:footnoteReference w:id="27"/>
      </w:r>
      <w:bookmarkEnd w:id="31"/>
      <w:bookmarkEnd w:id="32"/>
      <w:r w:rsidR="00DF0A04" w:rsidRPr="005E6068">
        <w:rPr>
          <w:rFonts w:cs="Times New Roman PS"/>
          <w:noProof w:val="0"/>
        </w:rPr>
        <w:t xml:space="preserve"> </w:t>
      </w:r>
    </w:p>
    <w:p w14:paraId="6D1516D4" w14:textId="31130BCD" w:rsidR="00E847CF" w:rsidRPr="005E6068" w:rsidRDefault="00E847CF" w:rsidP="001B39BE">
      <w:pPr>
        <w:pStyle w:val="Document"/>
        <w:rPr>
          <w:rFonts w:cs="Times New Roman PS"/>
          <w:noProof w:val="0"/>
        </w:rPr>
      </w:pPr>
      <w:r w:rsidRPr="005E6068">
        <w:rPr>
          <w:rFonts w:cs="Times New Roman PS"/>
          <w:noProof w:val="0"/>
        </w:rPr>
        <w:t xml:space="preserve">Despite the theoretical and empirical challenges to the banking and airline papers, a number of legal scholars have concluded that the evidence is sufficiently clear to warrant regulatory action addressing the </w:t>
      </w:r>
      <w:r w:rsidR="005E6068" w:rsidRPr="005E6068">
        <w:rPr>
          <w:rFonts w:cs="Times New Roman PS"/>
          <w:noProof w:val="0"/>
        </w:rPr>
        <w:t>adverse effects</w:t>
      </w:r>
      <w:r w:rsidRPr="005E6068">
        <w:rPr>
          <w:rFonts w:cs="Times New Roman PS"/>
          <w:noProof w:val="0"/>
        </w:rPr>
        <w:t xml:space="preserve"> of common ownership on competition.</w:t>
      </w:r>
      <w:r w:rsidR="00DF0A04" w:rsidRPr="005E6068">
        <w:rPr>
          <w:rFonts w:cs="Times New Roman PS"/>
          <w:noProof w:val="0"/>
        </w:rPr>
        <w:t xml:space="preserve"> </w:t>
      </w:r>
      <w:r w:rsidRPr="005E6068">
        <w:rPr>
          <w:rFonts w:cs="Times New Roman PS"/>
          <w:noProof w:val="0"/>
        </w:rPr>
        <w:t xml:space="preserve">Concluding that the </w:t>
      </w:r>
      <w:r w:rsidR="009A645E">
        <w:rPr>
          <w:rFonts w:cs="Times New Roman PS"/>
          <w:noProof w:val="0"/>
        </w:rPr>
        <w:t>“</w:t>
      </w:r>
      <w:r w:rsidRPr="005E6068">
        <w:rPr>
          <w:rFonts w:cs="Times New Roman PS"/>
          <w:noProof w:val="0"/>
        </w:rPr>
        <w:t>evidence now firmly establish[es] that high levels of horizontal shareholding in concentrated markets often has anticompetitive effects,</w:t>
      </w:r>
      <w:r w:rsidR="009A645E">
        <w:rPr>
          <w:rFonts w:cs="Times New Roman PS"/>
          <w:noProof w:val="0"/>
        </w:rPr>
        <w:t>”</w:t>
      </w:r>
      <w:r w:rsidRPr="005E6068">
        <w:rPr>
          <w:rFonts w:cs="Times New Roman PS"/>
          <w:noProof w:val="0"/>
        </w:rPr>
        <w:t xml:space="preserve"> </w:t>
      </w:r>
      <w:r w:rsidR="00673534">
        <w:rPr>
          <w:rFonts w:cs="Times New Roman PS"/>
          <w:noProof w:val="0"/>
        </w:rPr>
        <w:t xml:space="preserve">Einer </w:t>
      </w:r>
      <w:r w:rsidRPr="005E6068">
        <w:rPr>
          <w:rFonts w:cs="Times New Roman PS"/>
          <w:noProof w:val="0"/>
        </w:rPr>
        <w:t>Elhauge argues that existing U.S. and E.U. antitrust regulation should be brought to bear.</w:t>
      </w:r>
      <w:r w:rsidRPr="00F155BE">
        <w:rPr>
          <w:rStyle w:val="NoterefInText"/>
        </w:rPr>
        <w:footnoteReference w:id="28"/>
      </w:r>
      <w:r w:rsidR="00DF0A04" w:rsidRPr="005E6068">
        <w:rPr>
          <w:rFonts w:cs="Times New Roman PS"/>
          <w:noProof w:val="0"/>
        </w:rPr>
        <w:t xml:space="preserve"> </w:t>
      </w:r>
      <w:r w:rsidR="00474C40">
        <w:rPr>
          <w:rFonts w:cs="Times New Roman PS"/>
          <w:noProof w:val="0"/>
        </w:rPr>
        <w:t xml:space="preserve">Eric </w:t>
      </w:r>
      <w:r w:rsidRPr="005E6068">
        <w:rPr>
          <w:rFonts w:cs="Times New Roman PS"/>
          <w:noProof w:val="0"/>
        </w:rPr>
        <w:t xml:space="preserve">Posner, </w:t>
      </w:r>
      <w:r w:rsidR="00474C40">
        <w:rPr>
          <w:rFonts w:cs="Times New Roman PS"/>
          <w:noProof w:val="0"/>
        </w:rPr>
        <w:t xml:space="preserve">Fiona </w:t>
      </w:r>
      <w:r w:rsidRPr="005E6068">
        <w:rPr>
          <w:rFonts w:cs="Times New Roman PS"/>
          <w:noProof w:val="0"/>
        </w:rPr>
        <w:t xml:space="preserve">Scott Morton, and </w:t>
      </w:r>
      <w:r w:rsidR="00474C40">
        <w:rPr>
          <w:rFonts w:cs="Times New Roman PS"/>
          <w:noProof w:val="0"/>
        </w:rPr>
        <w:t xml:space="preserve">Glen </w:t>
      </w:r>
      <w:r w:rsidRPr="005E6068">
        <w:rPr>
          <w:rFonts w:cs="Times New Roman PS"/>
          <w:noProof w:val="0"/>
        </w:rPr>
        <w:t>Weyl propose limiting investors</w:t>
      </w:r>
      <w:r w:rsidR="009A645E">
        <w:rPr>
          <w:rFonts w:cs="Times New Roman PS"/>
          <w:noProof w:val="0"/>
        </w:rPr>
        <w:t>’</w:t>
      </w:r>
      <w:r w:rsidRPr="005E6068">
        <w:rPr>
          <w:rFonts w:cs="Times New Roman PS"/>
          <w:noProof w:val="0"/>
        </w:rPr>
        <w:t xml:space="preserve"> aggregate holdings in oligopolistic industries to 1% of the industry unless investors elect to hold only a single company within such an industry.</w:t>
      </w:r>
      <w:r w:rsidRPr="00F155BE">
        <w:rPr>
          <w:rStyle w:val="NoterefInText"/>
        </w:rPr>
        <w:footnoteReference w:id="29"/>
      </w:r>
      <w:r w:rsidR="00DF0A04" w:rsidRPr="005E6068">
        <w:rPr>
          <w:rFonts w:cs="Times New Roman PS"/>
          <w:noProof w:val="0"/>
        </w:rPr>
        <w:t xml:space="preserve"> </w:t>
      </w:r>
    </w:p>
    <w:p w14:paraId="5D19A7A5" w14:textId="3EB3EFD6" w:rsidR="00E847CF" w:rsidRPr="005E6068" w:rsidRDefault="00E847CF" w:rsidP="001B39BE">
      <w:pPr>
        <w:pStyle w:val="Document"/>
        <w:rPr>
          <w:rFonts w:cs="Times New Roman PS"/>
          <w:noProof w:val="0"/>
        </w:rPr>
      </w:pPr>
      <w:r w:rsidRPr="005E6068">
        <w:rPr>
          <w:rFonts w:cs="Times New Roman PS"/>
          <w:noProof w:val="0"/>
        </w:rPr>
        <w:t>Other commentators urge caution.</w:t>
      </w:r>
      <w:r w:rsidR="00DF0A04" w:rsidRPr="005E6068">
        <w:rPr>
          <w:rFonts w:cs="Times New Roman PS"/>
          <w:noProof w:val="0"/>
        </w:rPr>
        <w:t xml:space="preserve"> </w:t>
      </w:r>
      <w:r w:rsidR="00E41C50">
        <w:rPr>
          <w:rFonts w:cs="Times New Roman PS"/>
          <w:noProof w:val="0"/>
        </w:rPr>
        <w:t xml:space="preserve">Scott </w:t>
      </w:r>
      <w:r w:rsidRPr="005E6068">
        <w:rPr>
          <w:rFonts w:cs="Times New Roman PS"/>
          <w:noProof w:val="0"/>
        </w:rPr>
        <w:t xml:space="preserve">Hemphill and </w:t>
      </w:r>
      <w:r w:rsidR="00E41C50">
        <w:rPr>
          <w:rFonts w:cs="Times New Roman PS"/>
          <w:noProof w:val="0"/>
        </w:rPr>
        <w:t xml:space="preserve">Marcel </w:t>
      </w:r>
      <w:r w:rsidRPr="005E6068">
        <w:rPr>
          <w:rFonts w:cs="Times New Roman PS"/>
          <w:noProof w:val="0"/>
        </w:rPr>
        <w:t xml:space="preserve">Kahan note that while placing limitations on common ownership might be viewed as a </w:t>
      </w:r>
      <w:r w:rsidR="009A645E">
        <w:rPr>
          <w:rFonts w:cs="Times New Roman PS"/>
          <w:noProof w:val="0"/>
        </w:rPr>
        <w:t>“</w:t>
      </w:r>
      <w:r w:rsidRPr="005E6068">
        <w:rPr>
          <w:rFonts w:cs="Times New Roman PS"/>
          <w:noProof w:val="0"/>
        </w:rPr>
        <w:t>better safe than sorry</w:t>
      </w:r>
      <w:r w:rsidR="009A645E">
        <w:rPr>
          <w:rFonts w:cs="Times New Roman PS"/>
          <w:noProof w:val="0"/>
        </w:rPr>
        <w:t>”</w:t>
      </w:r>
      <w:r w:rsidRPr="005E6068">
        <w:rPr>
          <w:rFonts w:cs="Times New Roman PS"/>
          <w:noProof w:val="0"/>
        </w:rPr>
        <w:t xml:space="preserve"> strategy from an antitrust perspective, discouraging common owners from participating in corporate governance could be costly.</w:t>
      </w:r>
      <w:bookmarkStart w:id="33" w:name="_Ref19265597"/>
      <w:bookmarkStart w:id="34" w:name="_Ref430105649"/>
      <w:bookmarkStart w:id="35" w:name="_Ref19695820"/>
      <w:r w:rsidRPr="00F155BE">
        <w:rPr>
          <w:rStyle w:val="NoterefInText"/>
        </w:rPr>
        <w:footnoteReference w:id="30"/>
      </w:r>
      <w:bookmarkEnd w:id="33"/>
      <w:bookmarkEnd w:id="34"/>
      <w:bookmarkEnd w:id="35"/>
      <w:r w:rsidR="00DF0A04" w:rsidRPr="005E6068">
        <w:rPr>
          <w:rFonts w:cs="Times New Roman PS"/>
          <w:noProof w:val="0"/>
        </w:rPr>
        <w:t xml:space="preserve"> </w:t>
      </w:r>
      <w:r w:rsidRPr="005E6068">
        <w:rPr>
          <w:rFonts w:cs="Times New Roman PS"/>
          <w:noProof w:val="0"/>
        </w:rPr>
        <w:t>Given their misgivings regarding the evidence and</w:t>
      </w:r>
      <w:r w:rsidR="00397803" w:rsidRPr="005E6068">
        <w:rPr>
          <w:rFonts w:cs="Times New Roman PS"/>
          <w:noProof w:val="0"/>
        </w:rPr>
        <w:t xml:space="preserve"> </w:t>
      </w:r>
      <w:r w:rsidRPr="005E6068">
        <w:rPr>
          <w:rFonts w:cs="Times New Roman PS"/>
          <w:noProof w:val="0"/>
        </w:rPr>
        <w:t>finding the Posner, Scott Morton</w:t>
      </w:r>
      <w:r w:rsidR="00397803" w:rsidRPr="005E6068">
        <w:rPr>
          <w:rFonts w:cs="Times New Roman PS"/>
          <w:noProof w:val="0"/>
        </w:rPr>
        <w:t>,</w:t>
      </w:r>
      <w:r w:rsidRPr="005E6068">
        <w:rPr>
          <w:rFonts w:cs="Times New Roman PS"/>
          <w:noProof w:val="0"/>
        </w:rPr>
        <w:t xml:space="preserve"> and Weyl proposal unduly severe, Rock and Rubinfeld suggest the creation of an antitrust safe harbor for institutional investors who limit ownership to 15% of a given company</w:t>
      </w:r>
      <w:r w:rsidR="009A645E">
        <w:rPr>
          <w:rFonts w:cs="Times New Roman PS"/>
          <w:noProof w:val="0"/>
        </w:rPr>
        <w:t>’</w:t>
      </w:r>
      <w:r w:rsidRPr="005E6068">
        <w:rPr>
          <w:rFonts w:cs="Times New Roman PS"/>
          <w:noProof w:val="0"/>
        </w:rPr>
        <w:t xml:space="preserve">s equity, do not have board representation, and engage in only </w:t>
      </w:r>
      <w:r w:rsidR="009A645E">
        <w:rPr>
          <w:rFonts w:cs="Times New Roman PS"/>
          <w:noProof w:val="0"/>
        </w:rPr>
        <w:t>“</w:t>
      </w:r>
      <w:r w:rsidRPr="005E6068">
        <w:rPr>
          <w:rFonts w:cs="Times New Roman PS"/>
          <w:noProof w:val="0"/>
        </w:rPr>
        <w:t>normal</w:t>
      </w:r>
      <w:r w:rsidR="009A645E">
        <w:rPr>
          <w:rFonts w:cs="Times New Roman PS"/>
          <w:noProof w:val="0"/>
        </w:rPr>
        <w:t>”</w:t>
      </w:r>
      <w:r w:rsidRPr="005E6068">
        <w:rPr>
          <w:rFonts w:cs="Times New Roman PS"/>
          <w:noProof w:val="0"/>
        </w:rPr>
        <w:t xml:space="preserve"> corporate governance activities.</w:t>
      </w:r>
      <w:r w:rsidRPr="00F155BE">
        <w:rPr>
          <w:rStyle w:val="NoterefInText"/>
        </w:rPr>
        <w:footnoteReference w:id="31"/>
      </w:r>
      <w:r w:rsidR="00DF0A04" w:rsidRPr="005E6068">
        <w:rPr>
          <w:rFonts w:cs="Times New Roman PS"/>
          <w:noProof w:val="0"/>
        </w:rPr>
        <w:t xml:space="preserve"> </w:t>
      </w:r>
      <w:r w:rsidRPr="005E6068">
        <w:rPr>
          <w:rFonts w:cs="Times New Roman PS"/>
          <w:noProof w:val="0"/>
        </w:rPr>
        <w:t>Obviously, the legal and regulatory stakes here are very high.</w:t>
      </w:r>
      <w:r w:rsidRPr="00F155BE">
        <w:rPr>
          <w:rStyle w:val="NoterefInText"/>
        </w:rPr>
        <w:footnoteReference w:id="32"/>
      </w:r>
    </w:p>
    <w:p w14:paraId="3C414B12" w14:textId="1DEDE9F9" w:rsidR="00E847CF" w:rsidRPr="005E6068" w:rsidRDefault="00E847CF" w:rsidP="001B39BE">
      <w:pPr>
        <w:pStyle w:val="Document"/>
        <w:rPr>
          <w:rFonts w:cs="Times New Roman PS"/>
          <w:noProof w:val="0"/>
        </w:rPr>
      </w:pPr>
      <w:r w:rsidRPr="005E6068">
        <w:rPr>
          <w:rFonts w:cs="Times New Roman PS"/>
          <w:noProof w:val="0"/>
        </w:rPr>
        <w:lastRenderedPageBreak/>
        <w:t xml:space="preserve">An important question in this debate </w:t>
      </w:r>
      <w:r w:rsidR="00CB1CFB" w:rsidRPr="005E6068">
        <w:rPr>
          <w:rFonts w:cs="Times New Roman PS"/>
          <w:noProof w:val="0"/>
        </w:rPr>
        <w:t>concerns</w:t>
      </w:r>
      <w:r w:rsidRPr="005E6068">
        <w:rPr>
          <w:rFonts w:cs="Times New Roman PS"/>
          <w:noProof w:val="0"/>
        </w:rPr>
        <w:t xml:space="preserve"> the mechanism linking the portfolio-maximizing incentives of institutional investors and the anticompetitive actions of the managers of particular companies.</w:t>
      </w:r>
      <w:r w:rsidR="00DF0A04" w:rsidRPr="005E6068">
        <w:rPr>
          <w:rFonts w:cs="Times New Roman PS"/>
          <w:noProof w:val="0"/>
        </w:rPr>
        <w:t xml:space="preserve"> </w:t>
      </w:r>
      <w:r w:rsidRPr="005E6068">
        <w:rPr>
          <w:rFonts w:cs="Times New Roman PS"/>
          <w:noProof w:val="0"/>
        </w:rPr>
        <w:t>How would the managers of these companies be induced to refrain from vigorous competition with peer firms?</w:t>
      </w:r>
      <w:r w:rsidR="00DF0A04" w:rsidRPr="005E6068">
        <w:rPr>
          <w:rFonts w:cs="Times New Roman PS"/>
          <w:noProof w:val="0"/>
        </w:rPr>
        <w:t xml:space="preserve"> </w:t>
      </w:r>
      <w:r w:rsidRPr="005E6068">
        <w:rPr>
          <w:rFonts w:cs="Times New Roman PS"/>
          <w:noProof w:val="0"/>
        </w:rPr>
        <w:t>Azar, Schmalz, and Tecu suggest a number of potential mechanisms</w:t>
      </w:r>
      <w:r w:rsidR="00771DE3">
        <w:rPr>
          <w:rFonts w:cs="Times New Roman PS"/>
          <w:noProof w:val="0"/>
        </w:rPr>
        <w:t>:</w:t>
      </w:r>
      <w:r w:rsidR="00CB1CFB" w:rsidRPr="005E6068">
        <w:rPr>
          <w:rFonts w:cs="Times New Roman PS"/>
          <w:noProof w:val="0"/>
        </w:rPr>
        <w:t xml:space="preserve"> c</w:t>
      </w:r>
      <w:r w:rsidRPr="005E6068">
        <w:rPr>
          <w:rFonts w:cs="Times New Roman PS"/>
          <w:noProof w:val="0"/>
        </w:rPr>
        <w:t xml:space="preserve">ommon owners may influence portfolio company management </w:t>
      </w:r>
      <w:r w:rsidR="00511865">
        <w:rPr>
          <w:rFonts w:cs="Times New Roman PS"/>
          <w:noProof w:val="0"/>
        </w:rPr>
        <w:t xml:space="preserve">by engaging </w:t>
      </w:r>
      <w:r w:rsidR="000E2876">
        <w:rPr>
          <w:rFonts w:cs="Times New Roman PS"/>
          <w:noProof w:val="0"/>
        </w:rPr>
        <w:t xml:space="preserve">with them </w:t>
      </w:r>
      <w:r w:rsidR="00511865">
        <w:rPr>
          <w:rFonts w:cs="Times New Roman PS"/>
          <w:noProof w:val="0"/>
        </w:rPr>
        <w:t>directly</w:t>
      </w:r>
      <w:r w:rsidRPr="005E6068">
        <w:rPr>
          <w:rFonts w:cs="Times New Roman PS"/>
          <w:noProof w:val="0"/>
        </w:rPr>
        <w:t>, by creating managerial incentive structures that discourage competition, by electing directors sympathetic to avoiding vigorous competition, or by doing nothing.</w:t>
      </w:r>
      <w:r w:rsidRPr="00F155BE">
        <w:rPr>
          <w:rStyle w:val="NoterefInText"/>
        </w:rPr>
        <w:footnoteReference w:id="33"/>
      </w:r>
      <w:r w:rsidR="00DF0A04" w:rsidRPr="005E6068">
        <w:rPr>
          <w:rFonts w:cs="Times New Roman PS"/>
          <w:noProof w:val="0"/>
        </w:rPr>
        <w:t xml:space="preserve"> </w:t>
      </w:r>
      <w:r w:rsidRPr="005E6068">
        <w:rPr>
          <w:rFonts w:cs="Times New Roman PS"/>
          <w:noProof w:val="0"/>
        </w:rPr>
        <w:t>The final idea is that competing with peer firms is personally costly for managers.</w:t>
      </w:r>
      <w:r w:rsidR="00DF0A04" w:rsidRPr="005E6068">
        <w:rPr>
          <w:rFonts w:cs="Times New Roman PS"/>
          <w:noProof w:val="0"/>
        </w:rPr>
        <w:t xml:space="preserve"> </w:t>
      </w:r>
      <w:r w:rsidRPr="005E6068">
        <w:rPr>
          <w:rFonts w:cs="Times New Roman PS"/>
          <w:noProof w:val="0"/>
        </w:rPr>
        <w:t xml:space="preserve">If common owners fail to push managers to compete, they will tend to refrain from competing and simply enjoy the </w:t>
      </w:r>
      <w:r w:rsidR="009A645E">
        <w:rPr>
          <w:rFonts w:cs="Times New Roman PS"/>
          <w:noProof w:val="0"/>
        </w:rPr>
        <w:t>“</w:t>
      </w:r>
      <w:r w:rsidRPr="005E6068">
        <w:rPr>
          <w:rFonts w:cs="Times New Roman PS"/>
          <w:noProof w:val="0"/>
        </w:rPr>
        <w:t>quiet life.</w:t>
      </w:r>
      <w:r w:rsidR="009A645E">
        <w:rPr>
          <w:rFonts w:cs="Times New Roman PS"/>
          <w:noProof w:val="0"/>
        </w:rPr>
        <w:t>”</w:t>
      </w:r>
      <w:bookmarkStart w:id="36" w:name="_Ref21087494"/>
      <w:r w:rsidRPr="00F155BE">
        <w:rPr>
          <w:rStyle w:val="NoterefInText"/>
        </w:rPr>
        <w:footnoteReference w:id="34"/>
      </w:r>
      <w:bookmarkEnd w:id="36"/>
      <w:r w:rsidR="00B24BC3">
        <w:rPr>
          <w:rFonts w:cs="Times New Roman PS"/>
          <w:noProof w:val="0"/>
        </w:rPr>
        <w:t xml:space="preserve"> </w:t>
      </w:r>
    </w:p>
    <w:p w14:paraId="2FE9BB1F" w14:textId="4DAF9E8B" w:rsidR="00E847CF" w:rsidRPr="005E6068" w:rsidRDefault="00E847CF" w:rsidP="001B39BE">
      <w:pPr>
        <w:pStyle w:val="Document"/>
        <w:rPr>
          <w:rFonts w:cs="Times New Roman PS"/>
          <w:noProof w:val="0"/>
        </w:rPr>
      </w:pPr>
      <w:r w:rsidRPr="005E6068">
        <w:rPr>
          <w:rFonts w:cs="Times New Roman PS"/>
          <w:noProof w:val="0"/>
        </w:rPr>
        <w:t>Hemphill and Kahan provide numerous reasons to question these and other proposed mechanisms linking common ownership with reduced competition.</w:t>
      </w:r>
      <w:bookmarkStart w:id="37" w:name="_Ref19692590"/>
      <w:r w:rsidRPr="00F155BE">
        <w:rPr>
          <w:rStyle w:val="NoterefInText"/>
        </w:rPr>
        <w:footnoteReference w:id="35"/>
      </w:r>
      <w:bookmarkEnd w:id="37"/>
      <w:r w:rsidR="00DF0A04" w:rsidRPr="005E6068">
        <w:rPr>
          <w:rFonts w:cs="Times New Roman PS"/>
          <w:noProof w:val="0"/>
        </w:rPr>
        <w:t xml:space="preserve"> </w:t>
      </w:r>
      <w:r w:rsidRPr="005E6068">
        <w:rPr>
          <w:rFonts w:cs="Times New Roman PS"/>
          <w:noProof w:val="0"/>
        </w:rPr>
        <w:t>They point out that several mechanisms have not been empirically tested and that others are implausible.</w:t>
      </w:r>
      <w:r w:rsidRPr="00F155BE">
        <w:rPr>
          <w:rStyle w:val="NoterefInText"/>
        </w:rPr>
        <w:footnoteReference w:id="36"/>
      </w:r>
      <w:r w:rsidR="00DF0A04" w:rsidRPr="005E6068">
        <w:rPr>
          <w:rFonts w:cs="Times New Roman PS"/>
          <w:noProof w:val="0"/>
        </w:rPr>
        <w:t xml:space="preserve"> </w:t>
      </w:r>
      <w:r w:rsidRPr="005E6068">
        <w:rPr>
          <w:rFonts w:cs="Times New Roman PS"/>
          <w:noProof w:val="0"/>
        </w:rPr>
        <w:t>They are skeptical that common owners would prefer the adoption of weak managerial incentives as a means of discouraging competition, but</w:t>
      </w:r>
      <w:r w:rsidR="00AF5811">
        <w:rPr>
          <w:rFonts w:cs="Times New Roman PS"/>
          <w:noProof w:val="0"/>
        </w:rPr>
        <w:t xml:space="preserve"> </w:t>
      </w:r>
      <w:r w:rsidR="000E2876">
        <w:rPr>
          <w:rFonts w:cs="Times New Roman PS"/>
          <w:noProof w:val="0"/>
        </w:rPr>
        <w:t>c</w:t>
      </w:r>
      <w:r w:rsidRPr="005E6068">
        <w:rPr>
          <w:rFonts w:cs="Times New Roman PS"/>
          <w:noProof w:val="0"/>
        </w:rPr>
        <w:t>onclude that avoiding the use of relative performance evaluation at firms in industries with a high degree of common ownership is more plausible.</w:t>
      </w:r>
      <w:r w:rsidRPr="00F155BE">
        <w:rPr>
          <w:rStyle w:val="NoterefInText"/>
        </w:rPr>
        <w:footnoteReference w:id="37"/>
      </w:r>
      <w:r w:rsidR="00DF0A04" w:rsidRPr="005E6068">
        <w:rPr>
          <w:rFonts w:cs="Times New Roman PS"/>
          <w:noProof w:val="0"/>
        </w:rPr>
        <w:t xml:space="preserve"> </w:t>
      </w:r>
      <w:r w:rsidRPr="005E6068">
        <w:rPr>
          <w:rFonts w:cs="Times New Roman PS"/>
          <w:noProof w:val="0"/>
        </w:rPr>
        <w:t xml:space="preserve">They also conclude that </w:t>
      </w:r>
      <w:r w:rsidR="009A645E">
        <w:rPr>
          <w:rFonts w:cs="Times New Roman PS"/>
          <w:noProof w:val="0"/>
        </w:rPr>
        <w:t>“</w:t>
      </w:r>
      <w:r w:rsidRPr="005E6068">
        <w:rPr>
          <w:rFonts w:cs="Times New Roman PS"/>
          <w:noProof w:val="0"/>
        </w:rPr>
        <w:t>selective omission</w:t>
      </w:r>
      <w:r w:rsidR="00511865">
        <w:rPr>
          <w:rFonts w:cs="Times New Roman PS"/>
          <w:noProof w:val="0"/>
        </w:rPr>
        <w:t>,</w:t>
      </w:r>
      <w:r w:rsidR="009A645E">
        <w:rPr>
          <w:rFonts w:cs="Times New Roman PS"/>
          <w:noProof w:val="0"/>
        </w:rPr>
        <w:t>”</w:t>
      </w:r>
      <w:r w:rsidRPr="005E6068">
        <w:rPr>
          <w:rFonts w:cs="Times New Roman PS"/>
          <w:noProof w:val="0"/>
        </w:rPr>
        <w:t xml:space="preserve"> or passivity</w:t>
      </w:r>
      <w:r w:rsidR="00511865">
        <w:rPr>
          <w:rFonts w:cs="Times New Roman PS"/>
          <w:noProof w:val="0"/>
        </w:rPr>
        <w:t xml:space="preserve">, </w:t>
      </w:r>
      <w:r w:rsidRPr="005E6068">
        <w:rPr>
          <w:rFonts w:cs="Times New Roman PS"/>
          <w:noProof w:val="0"/>
        </w:rPr>
        <w:t>of common owners in cases in which firm value and portfolio value conflict is another plausible mechanism.</w:t>
      </w:r>
      <w:r w:rsidRPr="00F155BE">
        <w:rPr>
          <w:rStyle w:val="NoterefInText"/>
        </w:rPr>
        <w:footnoteReference w:id="38"/>
      </w:r>
    </w:p>
    <w:p w14:paraId="34BC55FA" w14:textId="2FD4B18B" w:rsidR="00E847CF" w:rsidRPr="005E6068" w:rsidRDefault="00E847CF" w:rsidP="001B39BE">
      <w:pPr>
        <w:pStyle w:val="Document"/>
        <w:rPr>
          <w:rFonts w:cs="Times New Roman PS"/>
          <w:noProof w:val="0"/>
        </w:rPr>
      </w:pPr>
      <w:r w:rsidRPr="005E6068">
        <w:rPr>
          <w:rFonts w:cs="Times New Roman PS"/>
          <w:noProof w:val="0"/>
        </w:rPr>
        <w:t xml:space="preserve">In a series of draft papers, AEGS show as a theoretical matter that common owners could discourage interfirm competition by </w:t>
      </w:r>
      <w:r w:rsidR="009A645E">
        <w:rPr>
          <w:rFonts w:cs="Times New Roman PS"/>
          <w:noProof w:val="0"/>
        </w:rPr>
        <w:t>“</w:t>
      </w:r>
      <w:r w:rsidRPr="005E6068">
        <w:rPr>
          <w:rFonts w:cs="Times New Roman PS"/>
          <w:noProof w:val="0"/>
        </w:rPr>
        <w:t xml:space="preserve">failing to offer managerial compensation that is as performance-sensitive as the compensation provided by </w:t>
      </w:r>
      <w:r w:rsidRPr="005E6068">
        <w:rPr>
          <w:rFonts w:cs="Times New Roman PS"/>
          <w:noProof w:val="0"/>
        </w:rPr>
        <w:lastRenderedPageBreak/>
        <w:t>undiversified owners.</w:t>
      </w:r>
      <w:r w:rsidR="009A645E">
        <w:rPr>
          <w:rFonts w:cs="Times New Roman PS"/>
          <w:noProof w:val="0"/>
        </w:rPr>
        <w:t>”</w:t>
      </w:r>
      <w:r w:rsidRPr="00F155BE">
        <w:rPr>
          <w:rStyle w:val="NoterefInText"/>
        </w:rPr>
        <w:footnoteReference w:id="39"/>
      </w:r>
      <w:r w:rsidR="00DF0A04" w:rsidRPr="005E6068">
        <w:rPr>
          <w:rFonts w:cs="Times New Roman PS"/>
          <w:noProof w:val="0"/>
        </w:rPr>
        <w:t xml:space="preserve"> </w:t>
      </w:r>
      <w:r w:rsidRPr="005E6068">
        <w:rPr>
          <w:rFonts w:cs="Times New Roman PS"/>
          <w:noProof w:val="0"/>
        </w:rPr>
        <w:t>They provide empirical evidence indicating that, as predicted by their theory, companies with a high degree of common ownership tend to make less use of relative performance evaluation</w:t>
      </w:r>
      <w:r w:rsidRPr="00F155BE">
        <w:rPr>
          <w:rStyle w:val="NoterefInText"/>
        </w:rPr>
        <w:footnoteReference w:id="40"/>
      </w:r>
      <w:r w:rsidRPr="005E6068">
        <w:rPr>
          <w:rFonts w:cs="Times New Roman PS"/>
          <w:noProof w:val="0"/>
        </w:rPr>
        <w:t xml:space="preserve"> and tend to adopt less high-powered incentives generally.</w:t>
      </w:r>
      <w:r w:rsidRPr="00F155BE">
        <w:rPr>
          <w:rStyle w:val="NoterefInText"/>
        </w:rPr>
        <w:footnoteReference w:id="41"/>
      </w:r>
      <w:r w:rsidR="00DF0A04" w:rsidRPr="005E6068">
        <w:rPr>
          <w:rFonts w:cs="Times New Roman PS"/>
          <w:noProof w:val="0"/>
        </w:rPr>
        <w:t xml:space="preserve"> </w:t>
      </w:r>
      <w:r w:rsidRPr="005E6068">
        <w:rPr>
          <w:rFonts w:cs="Times New Roman PS"/>
          <w:noProof w:val="0"/>
        </w:rPr>
        <w:t xml:space="preserve">Because establishing a plausible mechanism linking common ownership to reduced competition is a critical step in the broader debate, it is important to review these claims carefully, and that is the purpose of the remainder of this </w:t>
      </w:r>
      <w:r w:rsidR="00D50C91">
        <w:rPr>
          <w:rFonts w:cs="Times New Roman PS"/>
          <w:noProof w:val="0"/>
        </w:rPr>
        <w:t>Article</w:t>
      </w:r>
      <w:r w:rsidRPr="005E6068">
        <w:rPr>
          <w:rFonts w:cs="Times New Roman PS"/>
          <w:noProof w:val="0"/>
        </w:rPr>
        <w:t>.</w:t>
      </w:r>
      <w:r w:rsidR="00DF0A04" w:rsidRPr="005E6068">
        <w:rPr>
          <w:rFonts w:cs="Times New Roman PS"/>
          <w:noProof w:val="0"/>
        </w:rPr>
        <w:t xml:space="preserve"> </w:t>
      </w:r>
    </w:p>
    <w:p w14:paraId="383B16C3" w14:textId="77777777" w:rsidR="00E847CF" w:rsidRPr="005E6068" w:rsidRDefault="00E847CF" w:rsidP="008E6478">
      <w:pPr>
        <w:pStyle w:val="SubHead1"/>
      </w:pPr>
      <w:bookmarkStart w:id="38" w:name="_Toc16064707"/>
      <w:bookmarkStart w:id="39" w:name="_Toc23780665"/>
      <w:r w:rsidRPr="005E6068">
        <w:t>II.</w:t>
      </w:r>
      <w:r w:rsidR="00F93AF1" w:rsidRPr="005E6068">
        <w:tab/>
      </w:r>
      <w:r w:rsidRPr="008E6478">
        <w:t>Relative</w:t>
      </w:r>
      <w:r w:rsidRPr="005E6068">
        <w:t xml:space="preserve"> Performance Evaluation and Common Ownership</w:t>
      </w:r>
      <w:bookmarkEnd w:id="38"/>
      <w:bookmarkEnd w:id="39"/>
    </w:p>
    <w:p w14:paraId="4DE5007E" w14:textId="629AB961" w:rsidR="00E847CF" w:rsidRPr="005E6068" w:rsidRDefault="00E847CF" w:rsidP="001B39BE">
      <w:pPr>
        <w:pStyle w:val="Document"/>
        <w:rPr>
          <w:rFonts w:cs="Times New Roman PS"/>
          <w:noProof w:val="0"/>
        </w:rPr>
      </w:pPr>
      <w:r w:rsidRPr="005E6068">
        <w:rPr>
          <w:rFonts w:cs="Times New Roman PS"/>
          <w:noProof w:val="0"/>
        </w:rPr>
        <w:t xml:space="preserve">This </w:t>
      </w:r>
      <w:r w:rsidR="00961116">
        <w:rPr>
          <w:rFonts w:cs="Times New Roman PS"/>
          <w:noProof w:val="0"/>
        </w:rPr>
        <w:t>P</w:t>
      </w:r>
      <w:r w:rsidRPr="005E6068">
        <w:rPr>
          <w:rFonts w:cs="Times New Roman PS"/>
          <w:noProof w:val="0"/>
        </w:rPr>
        <w:t xml:space="preserve">art considers the theory and evidence linking executive </w:t>
      </w:r>
      <w:r w:rsidR="004A3F7A">
        <w:rPr>
          <w:rFonts w:cs="Times New Roman PS"/>
          <w:noProof w:val="0"/>
        </w:rPr>
        <w:t>RPE</w:t>
      </w:r>
      <w:r w:rsidRPr="005E6068">
        <w:rPr>
          <w:rFonts w:cs="Times New Roman PS"/>
          <w:noProof w:val="0"/>
        </w:rPr>
        <w:t xml:space="preserve"> to common ownership and interfirm competition.</w:t>
      </w:r>
      <w:r w:rsidR="00DF0A04" w:rsidRPr="005E6068">
        <w:rPr>
          <w:rFonts w:cs="Times New Roman PS"/>
          <w:noProof w:val="0"/>
        </w:rPr>
        <w:t xml:space="preserve"> </w:t>
      </w:r>
      <w:r w:rsidRPr="005E6068">
        <w:rPr>
          <w:rFonts w:cs="Times New Roman PS"/>
          <w:noProof w:val="0"/>
        </w:rPr>
        <w:t>It begins by recapping the theoretical connections.</w:t>
      </w:r>
      <w:r w:rsidR="00DF0A04" w:rsidRPr="005E6068">
        <w:rPr>
          <w:rFonts w:cs="Times New Roman PS"/>
          <w:noProof w:val="0"/>
        </w:rPr>
        <w:t xml:space="preserve"> </w:t>
      </w:r>
      <w:r w:rsidRPr="005E6068">
        <w:rPr>
          <w:rFonts w:cs="Times New Roman PS"/>
          <w:noProof w:val="0"/>
        </w:rPr>
        <w:t xml:space="preserve">Next, it briefly traces the evolution of executive pay design over the last </w:t>
      </w:r>
      <w:r w:rsidR="00FF3935" w:rsidRPr="005E6068">
        <w:rPr>
          <w:rFonts w:cs="Times New Roman PS"/>
          <w:noProof w:val="0"/>
        </w:rPr>
        <w:t>thirty</w:t>
      </w:r>
      <w:r w:rsidR="005E6068">
        <w:rPr>
          <w:rFonts w:cs="Times New Roman PS"/>
          <w:noProof w:val="0"/>
        </w:rPr>
        <w:t xml:space="preserve"> </w:t>
      </w:r>
      <w:r w:rsidRPr="005E6068">
        <w:rPr>
          <w:rFonts w:cs="Times New Roman PS"/>
          <w:noProof w:val="0"/>
        </w:rPr>
        <w:t>years, roughly the period during which common ownership has become prevalent.</w:t>
      </w:r>
      <w:r w:rsidR="00DF0A04" w:rsidRPr="005E6068">
        <w:rPr>
          <w:rFonts w:cs="Times New Roman PS"/>
          <w:noProof w:val="0"/>
        </w:rPr>
        <w:t xml:space="preserve"> </w:t>
      </w:r>
      <w:r w:rsidRPr="005E6068">
        <w:rPr>
          <w:rFonts w:cs="Times New Roman PS"/>
          <w:noProof w:val="0"/>
        </w:rPr>
        <w:t xml:space="preserve">The key takeaway is that explicit use of RPE has increased dramatically in tandem with the growth in common </w:t>
      </w:r>
      <w:r w:rsidR="00FF3935" w:rsidRPr="005E6068">
        <w:rPr>
          <w:rFonts w:cs="Times New Roman PS"/>
          <w:noProof w:val="0"/>
        </w:rPr>
        <w:t>ownership—exactly</w:t>
      </w:r>
      <w:r w:rsidRPr="005E6068">
        <w:rPr>
          <w:rFonts w:cs="Times New Roman PS"/>
          <w:noProof w:val="0"/>
        </w:rPr>
        <w:t xml:space="preserve"> the opposite of what one would predict if reduced use of RPE were a mechanism </w:t>
      </w:r>
      <w:r w:rsidR="00492C3A">
        <w:rPr>
          <w:rFonts w:cs="Times New Roman PS"/>
          <w:noProof w:val="0"/>
        </w:rPr>
        <w:t xml:space="preserve">for </w:t>
      </w:r>
      <w:r w:rsidRPr="005E6068">
        <w:rPr>
          <w:rFonts w:cs="Times New Roman PS"/>
          <w:noProof w:val="0"/>
        </w:rPr>
        <w:t>translating the anticompetitive preferences of common owners into reduced competition.</w:t>
      </w:r>
      <w:r w:rsidR="008F79AD" w:rsidRPr="005E6068">
        <w:rPr>
          <w:rFonts w:cs="Times New Roman PS"/>
          <w:noProof w:val="0"/>
        </w:rPr>
        <w:t xml:space="preserve"> </w:t>
      </w:r>
      <w:r w:rsidRPr="005E6068">
        <w:rPr>
          <w:rFonts w:cs="Times New Roman PS"/>
          <w:noProof w:val="0"/>
        </w:rPr>
        <w:t xml:space="preserve">Finally, this </w:t>
      </w:r>
      <w:r w:rsidR="00961116">
        <w:rPr>
          <w:rFonts w:cs="Times New Roman PS"/>
          <w:noProof w:val="0"/>
        </w:rPr>
        <w:t>P</w:t>
      </w:r>
      <w:r w:rsidRPr="005E6068">
        <w:rPr>
          <w:rFonts w:cs="Times New Roman PS"/>
          <w:noProof w:val="0"/>
        </w:rPr>
        <w:t xml:space="preserve">art addresses the empirical literature connecting RPE with common ownership and argues that the evidence of a negative association </w:t>
      </w:r>
      <w:r w:rsidR="00F4663C" w:rsidRPr="005E6068">
        <w:rPr>
          <w:rFonts w:cs="Times New Roman PS"/>
          <w:noProof w:val="0"/>
        </w:rPr>
        <w:t>supporting</w:t>
      </w:r>
      <w:r w:rsidRPr="005E6068">
        <w:rPr>
          <w:rFonts w:cs="Times New Roman PS"/>
          <w:noProof w:val="0"/>
        </w:rPr>
        <w:t xml:space="preserve"> the compensation mechanism hypothesis is </w:t>
      </w:r>
      <w:r w:rsidR="00F4663C" w:rsidRPr="005E6068">
        <w:rPr>
          <w:rFonts w:cs="Times New Roman PS"/>
          <w:noProof w:val="0"/>
        </w:rPr>
        <w:t>unpersuasive</w:t>
      </w:r>
      <w:r w:rsidRPr="005E6068">
        <w:rPr>
          <w:rFonts w:cs="Times New Roman PS"/>
          <w:noProof w:val="0"/>
        </w:rPr>
        <w:t>.</w:t>
      </w:r>
      <w:r w:rsidR="00DF0A04" w:rsidRPr="005E6068">
        <w:rPr>
          <w:rFonts w:cs="Times New Roman PS"/>
          <w:noProof w:val="0"/>
        </w:rPr>
        <w:t xml:space="preserve"> </w:t>
      </w:r>
      <w:r w:rsidRPr="005E6068">
        <w:rPr>
          <w:rFonts w:cs="Times New Roman PS"/>
          <w:noProof w:val="0"/>
        </w:rPr>
        <w:t>This Part points out a critical shortcoming in the literature</w:t>
      </w:r>
      <w:r w:rsidR="00961116">
        <w:rPr>
          <w:rFonts w:cs="Times New Roman PS"/>
          <w:noProof w:val="0"/>
        </w:rPr>
        <w:t>:</w:t>
      </w:r>
      <w:r w:rsidR="00D02240">
        <w:rPr>
          <w:rFonts w:cs="Times New Roman PS"/>
          <w:noProof w:val="0"/>
        </w:rPr>
        <w:t xml:space="preserve"> </w:t>
      </w:r>
      <w:r w:rsidRPr="005E6068">
        <w:rPr>
          <w:rFonts w:cs="Times New Roman PS"/>
          <w:noProof w:val="0"/>
        </w:rPr>
        <w:t xml:space="preserve">a focus on an empirical strategy that properly identifies implicit </w:t>
      </w:r>
      <w:r w:rsidR="00492C3A">
        <w:rPr>
          <w:rFonts w:cs="Times New Roman PS"/>
          <w:noProof w:val="0"/>
        </w:rPr>
        <w:t xml:space="preserve">use of </w:t>
      </w:r>
      <w:r w:rsidRPr="005E6068">
        <w:rPr>
          <w:rFonts w:cs="Times New Roman PS"/>
          <w:noProof w:val="0"/>
        </w:rPr>
        <w:t xml:space="preserve">RPE but </w:t>
      </w:r>
      <w:r w:rsidR="00AF5811">
        <w:rPr>
          <w:rFonts w:cs="Times New Roman PS"/>
          <w:noProof w:val="0"/>
        </w:rPr>
        <w:t>no</w:t>
      </w:r>
      <w:r w:rsidRPr="005E6068">
        <w:rPr>
          <w:rFonts w:cs="Times New Roman PS"/>
          <w:noProof w:val="0"/>
        </w:rPr>
        <w:t>t</w:t>
      </w:r>
      <w:r w:rsidR="00AF5811">
        <w:rPr>
          <w:rFonts w:cs="Times New Roman PS"/>
          <w:noProof w:val="0"/>
        </w:rPr>
        <w:t xml:space="preserve"> </w:t>
      </w:r>
      <w:r w:rsidR="000E2876">
        <w:rPr>
          <w:rFonts w:cs="Times New Roman PS"/>
          <w:noProof w:val="0"/>
        </w:rPr>
        <w:t xml:space="preserve">the </w:t>
      </w:r>
      <w:r w:rsidRPr="005E6068">
        <w:rPr>
          <w:rFonts w:cs="Times New Roman PS"/>
          <w:noProof w:val="0"/>
        </w:rPr>
        <w:t>explicit use of RPE, which likely now dominates.</w:t>
      </w:r>
    </w:p>
    <w:p w14:paraId="6550D0D1" w14:textId="28751C28" w:rsidR="00E847CF" w:rsidRPr="005E6068" w:rsidRDefault="00E847CF" w:rsidP="001B39BE">
      <w:pPr>
        <w:pStyle w:val="SubHead2"/>
        <w:widowControl/>
        <w:rPr>
          <w:noProof w:val="0"/>
        </w:rPr>
      </w:pPr>
      <w:bookmarkStart w:id="40" w:name="_Toc16064708"/>
      <w:bookmarkStart w:id="41" w:name="_Toc23780666"/>
      <w:r w:rsidRPr="005E6068">
        <w:rPr>
          <w:i w:val="0"/>
          <w:noProof w:val="0"/>
        </w:rPr>
        <w:t>A.</w:t>
      </w:r>
      <w:r w:rsidR="002B137B">
        <w:rPr>
          <w:i w:val="0"/>
          <w:noProof w:val="0"/>
        </w:rPr>
        <w:tab/>
      </w:r>
      <w:r w:rsidRPr="005E6068">
        <w:rPr>
          <w:noProof w:val="0"/>
        </w:rPr>
        <w:t>A Primer on RPE</w:t>
      </w:r>
      <w:bookmarkEnd w:id="40"/>
      <w:bookmarkEnd w:id="41"/>
    </w:p>
    <w:p w14:paraId="6867C31B" w14:textId="776C0776" w:rsidR="00E847CF" w:rsidRPr="005E6068" w:rsidRDefault="00E847CF" w:rsidP="001B39BE">
      <w:pPr>
        <w:pStyle w:val="Document"/>
        <w:rPr>
          <w:rFonts w:cs="Times New Roman PS"/>
          <w:noProof w:val="0"/>
        </w:rPr>
      </w:pPr>
      <w:r w:rsidRPr="005E6068">
        <w:rPr>
          <w:rFonts w:cs="Times New Roman PS"/>
          <w:noProof w:val="0"/>
        </w:rPr>
        <w:t>Nobel economics laureate Bengt Holmstrom demonstrated in the 1980s that</w:t>
      </w:r>
      <w:r w:rsidR="00492C3A">
        <w:rPr>
          <w:rFonts w:cs="Times New Roman PS"/>
          <w:noProof w:val="0"/>
        </w:rPr>
        <w:t xml:space="preserve"> </w:t>
      </w:r>
      <w:r w:rsidRPr="005E6068">
        <w:rPr>
          <w:rFonts w:cs="Times New Roman PS"/>
          <w:noProof w:val="0"/>
        </w:rPr>
        <w:t xml:space="preserve">executive compensation arrangements </w:t>
      </w:r>
      <w:r w:rsidR="000E2876">
        <w:rPr>
          <w:rFonts w:cs="Times New Roman PS"/>
          <w:noProof w:val="0"/>
        </w:rPr>
        <w:t xml:space="preserve">could be made </w:t>
      </w:r>
      <w:r w:rsidR="00492C3A">
        <w:rPr>
          <w:rFonts w:cs="Times New Roman PS"/>
          <w:noProof w:val="0"/>
        </w:rPr>
        <w:t>m</w:t>
      </w:r>
      <w:r w:rsidRPr="005E6068">
        <w:rPr>
          <w:rFonts w:cs="Times New Roman PS"/>
          <w:noProof w:val="0"/>
        </w:rPr>
        <w:t>ore efficient by employing relative performance measures that would filter out the noise of industry or market movements over which executives have no control.</w:t>
      </w:r>
      <w:r w:rsidRPr="00F155BE">
        <w:rPr>
          <w:rStyle w:val="NoterefInText"/>
        </w:rPr>
        <w:footnoteReference w:id="42"/>
      </w:r>
      <w:r w:rsidR="00DF0A04" w:rsidRPr="005E6068">
        <w:rPr>
          <w:rFonts w:cs="Times New Roman PS"/>
          <w:noProof w:val="0"/>
        </w:rPr>
        <w:t xml:space="preserve"> </w:t>
      </w:r>
      <w:r w:rsidRPr="005E6068">
        <w:rPr>
          <w:rFonts w:cs="Times New Roman PS"/>
          <w:noProof w:val="0"/>
        </w:rPr>
        <w:t>Instead of basing a bonus solely on a company</w:t>
      </w:r>
      <w:r w:rsidR="009A645E">
        <w:rPr>
          <w:rFonts w:cs="Times New Roman PS"/>
          <w:noProof w:val="0"/>
        </w:rPr>
        <w:t>’</w:t>
      </w:r>
      <w:r w:rsidRPr="005E6068">
        <w:rPr>
          <w:rFonts w:cs="Times New Roman PS"/>
          <w:noProof w:val="0"/>
        </w:rPr>
        <w:t>s total shareholder return, for instance, the bonus could be based on the company</w:t>
      </w:r>
      <w:r w:rsidR="009A645E">
        <w:rPr>
          <w:rFonts w:cs="Times New Roman PS"/>
          <w:noProof w:val="0"/>
        </w:rPr>
        <w:t>’</w:t>
      </w:r>
      <w:r w:rsidRPr="005E6068">
        <w:rPr>
          <w:rFonts w:cs="Times New Roman PS"/>
          <w:noProof w:val="0"/>
        </w:rPr>
        <w:t>s total return relative to the total return of a select group of peer companies or of a broad group of companies.</w:t>
      </w:r>
      <w:r w:rsidR="00DF0A04" w:rsidRPr="005E6068">
        <w:rPr>
          <w:rFonts w:cs="Times New Roman PS"/>
          <w:noProof w:val="0"/>
        </w:rPr>
        <w:t xml:space="preserve"> </w:t>
      </w:r>
      <w:r w:rsidRPr="005E6068">
        <w:rPr>
          <w:rFonts w:cs="Times New Roman PS"/>
          <w:noProof w:val="0"/>
        </w:rPr>
        <w:t>RPE metrics both filter out uncontrollable risks (seemingly attractive to executives) and reduce compensation windfalls associated with general market rises (seemingly attractive to investors).</w:t>
      </w:r>
      <w:r w:rsidR="00DF0A04" w:rsidRPr="005E6068">
        <w:rPr>
          <w:rFonts w:cs="Times New Roman PS"/>
          <w:noProof w:val="0"/>
        </w:rPr>
        <w:t xml:space="preserve"> </w:t>
      </w:r>
    </w:p>
    <w:p w14:paraId="6FB4D333" w14:textId="0FD1EA11" w:rsidR="00E847CF" w:rsidRPr="005E6068" w:rsidRDefault="00E847CF" w:rsidP="001B39BE">
      <w:pPr>
        <w:pStyle w:val="Document"/>
        <w:rPr>
          <w:rFonts w:cs="Times New Roman PS"/>
          <w:noProof w:val="0"/>
        </w:rPr>
      </w:pPr>
      <w:r w:rsidRPr="005E6068">
        <w:rPr>
          <w:rFonts w:cs="Times New Roman PS"/>
          <w:noProof w:val="0"/>
        </w:rPr>
        <w:t>RPE-based compensation can either be explicit or implicit.</w:t>
      </w:r>
      <w:r w:rsidR="00DF0A04" w:rsidRPr="005E6068">
        <w:rPr>
          <w:rFonts w:cs="Times New Roman PS"/>
          <w:noProof w:val="0"/>
        </w:rPr>
        <w:t xml:space="preserve"> </w:t>
      </w:r>
      <w:r w:rsidRPr="005E6068">
        <w:rPr>
          <w:rFonts w:cs="Times New Roman PS"/>
          <w:noProof w:val="0"/>
        </w:rPr>
        <w:t>The relative total shareholder</w:t>
      </w:r>
      <w:r w:rsidR="007E31CF">
        <w:rPr>
          <w:rFonts w:cs="Times New Roman PS"/>
          <w:noProof w:val="0"/>
        </w:rPr>
        <w:t xml:space="preserve"> </w:t>
      </w:r>
      <w:r w:rsidRPr="005E6068">
        <w:rPr>
          <w:rFonts w:cs="Times New Roman PS"/>
          <w:noProof w:val="0"/>
        </w:rPr>
        <w:t>return</w:t>
      </w:r>
      <w:r w:rsidR="00162A41">
        <w:rPr>
          <w:rFonts w:cs="Times New Roman PS"/>
          <w:noProof w:val="0"/>
        </w:rPr>
        <w:t>-</w:t>
      </w:r>
      <w:r w:rsidRPr="005E6068">
        <w:rPr>
          <w:rFonts w:cs="Times New Roman PS"/>
          <w:noProof w:val="0"/>
        </w:rPr>
        <w:t>based bonus described in the preceding paragraph is an example of explicit RPE.</w:t>
      </w:r>
      <w:r w:rsidR="00DF0A04" w:rsidRPr="005E6068">
        <w:rPr>
          <w:rFonts w:cs="Times New Roman PS"/>
          <w:noProof w:val="0"/>
        </w:rPr>
        <w:t xml:space="preserve"> </w:t>
      </w:r>
      <w:r w:rsidRPr="005E6068">
        <w:rPr>
          <w:rFonts w:cs="Times New Roman PS"/>
          <w:noProof w:val="0"/>
        </w:rPr>
        <w:t>Relative performance is built into the bonus targets.</w:t>
      </w:r>
      <w:r w:rsidR="00DF0A04" w:rsidRPr="005E6068">
        <w:rPr>
          <w:rFonts w:cs="Times New Roman PS"/>
          <w:noProof w:val="0"/>
        </w:rPr>
        <w:t xml:space="preserve"> </w:t>
      </w:r>
      <w:r w:rsidRPr="005E6068">
        <w:rPr>
          <w:rFonts w:cs="Times New Roman PS"/>
          <w:noProof w:val="0"/>
        </w:rPr>
        <w:t>In other cases, however, a company</w:t>
      </w:r>
      <w:r w:rsidR="009A645E">
        <w:rPr>
          <w:rFonts w:cs="Times New Roman PS"/>
          <w:noProof w:val="0"/>
        </w:rPr>
        <w:t>’</w:t>
      </w:r>
      <w:r w:rsidRPr="005E6068">
        <w:rPr>
          <w:rFonts w:cs="Times New Roman PS"/>
          <w:noProof w:val="0"/>
        </w:rPr>
        <w:t xml:space="preserve">s board might use its discretion to adjust salary </w:t>
      </w:r>
      <w:r w:rsidRPr="005E6068">
        <w:rPr>
          <w:rFonts w:cs="Times New Roman PS"/>
          <w:noProof w:val="0"/>
        </w:rPr>
        <w:lastRenderedPageBreak/>
        <w:t>levels or bonus payouts based in part on the firm</w:t>
      </w:r>
      <w:r w:rsidR="009A645E">
        <w:rPr>
          <w:rFonts w:cs="Times New Roman PS"/>
          <w:noProof w:val="0"/>
        </w:rPr>
        <w:t>’</w:t>
      </w:r>
      <w:r w:rsidRPr="005E6068">
        <w:rPr>
          <w:rFonts w:cs="Times New Roman PS"/>
          <w:noProof w:val="0"/>
        </w:rPr>
        <w:t>s performance relative to other companies along any number of metrics.</w:t>
      </w:r>
      <w:r w:rsidR="00DF0A04" w:rsidRPr="005E6068">
        <w:rPr>
          <w:rFonts w:cs="Times New Roman PS"/>
          <w:noProof w:val="0"/>
        </w:rPr>
        <w:t xml:space="preserve"> </w:t>
      </w:r>
      <w:r w:rsidRPr="005E6068">
        <w:rPr>
          <w:rFonts w:cs="Times New Roman PS"/>
          <w:noProof w:val="0"/>
        </w:rPr>
        <w:t>This would be an example of implicit RPE.</w:t>
      </w:r>
      <w:r w:rsidR="00DF0A04" w:rsidRPr="005E6068">
        <w:rPr>
          <w:rFonts w:cs="Times New Roman PS"/>
          <w:noProof w:val="0"/>
        </w:rPr>
        <w:t xml:space="preserve"> </w:t>
      </w:r>
      <w:r w:rsidRPr="005E6068">
        <w:rPr>
          <w:rFonts w:cs="Times New Roman PS"/>
          <w:noProof w:val="0"/>
        </w:rPr>
        <w:t>All else equal, the introduction of RPE, whether explicit or implicit</w:t>
      </w:r>
      <w:r w:rsidR="00492C3A">
        <w:rPr>
          <w:rFonts w:cs="Times New Roman PS"/>
          <w:noProof w:val="0"/>
        </w:rPr>
        <w:t>,</w:t>
      </w:r>
      <w:r w:rsidRPr="005E6068">
        <w:rPr>
          <w:rFonts w:cs="Times New Roman PS"/>
          <w:noProof w:val="0"/>
        </w:rPr>
        <w:t xml:space="preserve"> but anticipated, encourages competition with peer firms</w:t>
      </w:r>
      <w:r w:rsidR="004814F8">
        <w:rPr>
          <w:rFonts w:cs="Times New Roman PS"/>
          <w:noProof w:val="0"/>
        </w:rPr>
        <w:t>,</w:t>
      </w:r>
      <w:r w:rsidRPr="005E6068">
        <w:rPr>
          <w:rFonts w:cs="Times New Roman PS"/>
          <w:noProof w:val="0"/>
        </w:rPr>
        <w:t xml:space="preserve"> since </w:t>
      </w:r>
      <w:r w:rsidR="000E2876">
        <w:rPr>
          <w:rFonts w:cs="Times New Roman PS"/>
          <w:noProof w:val="0"/>
        </w:rPr>
        <w:t>managers</w:t>
      </w:r>
      <w:r w:rsidR="002748B4">
        <w:rPr>
          <w:rFonts w:cs="Times New Roman PS"/>
          <w:noProof w:val="0"/>
        </w:rPr>
        <w:t xml:space="preserve"> can enhance </w:t>
      </w:r>
      <w:r w:rsidRPr="005E6068">
        <w:rPr>
          <w:rFonts w:cs="Times New Roman PS"/>
          <w:noProof w:val="0"/>
        </w:rPr>
        <w:t>relative performance by improving own</w:t>
      </w:r>
      <w:r w:rsidR="000511F9">
        <w:rPr>
          <w:rFonts w:cs="Times New Roman PS"/>
          <w:noProof w:val="0"/>
        </w:rPr>
        <w:t>-</w:t>
      </w:r>
      <w:r w:rsidRPr="005E6068">
        <w:rPr>
          <w:rFonts w:cs="Times New Roman PS"/>
          <w:noProof w:val="0"/>
        </w:rPr>
        <w:t>firm performance or by taking actions that reduce peer</w:t>
      </w:r>
      <w:r w:rsidR="000511F9">
        <w:rPr>
          <w:rFonts w:cs="Times New Roman PS"/>
          <w:noProof w:val="0"/>
        </w:rPr>
        <w:t>-</w:t>
      </w:r>
      <w:r w:rsidRPr="005E6068">
        <w:rPr>
          <w:rFonts w:cs="Times New Roman PS"/>
          <w:noProof w:val="0"/>
        </w:rPr>
        <w:t>firm performance.</w:t>
      </w:r>
      <w:r w:rsidR="00DF0A04" w:rsidRPr="005E6068">
        <w:rPr>
          <w:rFonts w:cs="Times New Roman PS"/>
          <w:noProof w:val="0"/>
        </w:rPr>
        <w:t xml:space="preserve"> </w:t>
      </w:r>
    </w:p>
    <w:p w14:paraId="0717370E" w14:textId="7593D33D" w:rsidR="00E847CF" w:rsidRPr="005E6068" w:rsidRDefault="00E847CF" w:rsidP="001B39BE">
      <w:pPr>
        <w:pStyle w:val="Document"/>
        <w:rPr>
          <w:rFonts w:cs="Times New Roman PS"/>
          <w:noProof w:val="0"/>
        </w:rPr>
      </w:pPr>
      <w:r w:rsidRPr="005E6068">
        <w:rPr>
          <w:rFonts w:cs="Times New Roman PS"/>
          <w:noProof w:val="0"/>
        </w:rPr>
        <w:t>Of course, all else is not always equal.</w:t>
      </w:r>
      <w:r w:rsidR="00DF0A04" w:rsidRPr="005E6068">
        <w:rPr>
          <w:rFonts w:cs="Times New Roman PS"/>
          <w:noProof w:val="0"/>
        </w:rPr>
        <w:t xml:space="preserve"> </w:t>
      </w:r>
      <w:r w:rsidRPr="005E6068">
        <w:rPr>
          <w:rFonts w:cs="Times New Roman PS"/>
          <w:noProof w:val="0"/>
        </w:rPr>
        <w:t>The selection of the peer group is critical to the creation of competitive incentives.</w:t>
      </w:r>
      <w:r w:rsidR="00DF0A04" w:rsidRPr="005E6068">
        <w:rPr>
          <w:rFonts w:cs="Times New Roman PS"/>
          <w:noProof w:val="0"/>
        </w:rPr>
        <w:t xml:space="preserve"> </w:t>
      </w:r>
      <w:r w:rsidRPr="005E6068">
        <w:rPr>
          <w:rFonts w:cs="Times New Roman PS"/>
          <w:noProof w:val="0"/>
        </w:rPr>
        <w:t>Consider, for example, two RPE-based bonus schemes.</w:t>
      </w:r>
      <w:r w:rsidR="00DF0A04" w:rsidRPr="005E6068">
        <w:rPr>
          <w:rFonts w:cs="Times New Roman PS"/>
          <w:noProof w:val="0"/>
        </w:rPr>
        <w:t xml:space="preserve"> </w:t>
      </w:r>
      <w:r w:rsidRPr="005E6068">
        <w:rPr>
          <w:rFonts w:cs="Times New Roman PS"/>
          <w:noProof w:val="0"/>
        </w:rPr>
        <w:t>One is based on shareholder return relative to a dozen close competitors.</w:t>
      </w:r>
      <w:r w:rsidR="00DF0A04" w:rsidRPr="005E6068">
        <w:rPr>
          <w:rFonts w:cs="Times New Roman PS"/>
          <w:noProof w:val="0"/>
        </w:rPr>
        <w:t xml:space="preserve"> </w:t>
      </w:r>
      <w:r w:rsidRPr="005E6068">
        <w:rPr>
          <w:rFonts w:cs="Times New Roman PS"/>
          <w:noProof w:val="0"/>
        </w:rPr>
        <w:t>The other is based on shareholder return relative to all of the members of the Russell 3000 index (which</w:t>
      </w:r>
      <w:r w:rsidR="00B24BC3">
        <w:rPr>
          <w:rFonts w:cs="Times New Roman PS"/>
          <w:noProof w:val="0"/>
        </w:rPr>
        <w:t xml:space="preserve"> </w:t>
      </w:r>
      <w:r w:rsidRPr="005E6068">
        <w:rPr>
          <w:rFonts w:cs="Times New Roman PS"/>
          <w:noProof w:val="0"/>
        </w:rPr>
        <w:t>includes the dozen peer firms).</w:t>
      </w:r>
      <w:r w:rsidR="00DF0A04" w:rsidRPr="005E6068">
        <w:rPr>
          <w:rFonts w:cs="Times New Roman PS"/>
          <w:noProof w:val="0"/>
        </w:rPr>
        <w:t xml:space="preserve"> </w:t>
      </w:r>
      <w:r w:rsidRPr="005E6068">
        <w:rPr>
          <w:rFonts w:cs="Times New Roman PS"/>
          <w:noProof w:val="0"/>
        </w:rPr>
        <w:t>In each case, the bonus is a function of the company</w:t>
      </w:r>
      <w:r w:rsidR="009A645E">
        <w:rPr>
          <w:rFonts w:cs="Times New Roman PS"/>
          <w:noProof w:val="0"/>
        </w:rPr>
        <w:t>’</w:t>
      </w:r>
      <w:r w:rsidRPr="005E6068">
        <w:rPr>
          <w:rFonts w:cs="Times New Roman PS"/>
          <w:noProof w:val="0"/>
        </w:rPr>
        <w:t>s rank among the benchmarked companies.</w:t>
      </w:r>
      <w:r w:rsidR="00DF0A04" w:rsidRPr="005E6068">
        <w:rPr>
          <w:rFonts w:cs="Times New Roman PS"/>
          <w:noProof w:val="0"/>
        </w:rPr>
        <w:t xml:space="preserve"> </w:t>
      </w:r>
      <w:r w:rsidRPr="005E6068">
        <w:rPr>
          <w:rFonts w:cs="Times New Roman PS"/>
          <w:noProof w:val="0"/>
        </w:rPr>
        <w:t>The first design most pointedly encourages competition with peer companies</w:t>
      </w:r>
      <w:r w:rsidR="0069129E">
        <w:rPr>
          <w:rFonts w:cs="Times New Roman PS"/>
          <w:noProof w:val="0"/>
        </w:rPr>
        <w:t>,</w:t>
      </w:r>
      <w:r w:rsidRPr="005E6068">
        <w:rPr>
          <w:rFonts w:cs="Times New Roman PS"/>
          <w:noProof w:val="0"/>
        </w:rPr>
        <w:t xml:space="preserve"> since undermining the performance of one or more of these dozen firms would materially improve the company</w:t>
      </w:r>
      <w:r w:rsidR="009A645E">
        <w:rPr>
          <w:rFonts w:cs="Times New Roman PS"/>
          <w:noProof w:val="0"/>
        </w:rPr>
        <w:t>’</w:t>
      </w:r>
      <w:r w:rsidRPr="005E6068">
        <w:rPr>
          <w:rFonts w:cs="Times New Roman PS"/>
          <w:noProof w:val="0"/>
        </w:rPr>
        <w:t>s rank among the thirteen and thus an executive</w:t>
      </w:r>
      <w:r w:rsidR="009A645E">
        <w:rPr>
          <w:rFonts w:cs="Times New Roman PS"/>
          <w:noProof w:val="0"/>
        </w:rPr>
        <w:t>’</w:t>
      </w:r>
      <w:r w:rsidRPr="005E6068">
        <w:rPr>
          <w:rFonts w:cs="Times New Roman PS"/>
          <w:noProof w:val="0"/>
        </w:rPr>
        <w:t>s bonus.</w:t>
      </w:r>
      <w:r w:rsidR="00DF0A04" w:rsidRPr="005E6068">
        <w:rPr>
          <w:rFonts w:cs="Times New Roman PS"/>
          <w:noProof w:val="0"/>
        </w:rPr>
        <w:t xml:space="preserve"> </w:t>
      </w:r>
      <w:r w:rsidRPr="005E6068">
        <w:rPr>
          <w:rFonts w:cs="Times New Roman PS"/>
          <w:noProof w:val="0"/>
        </w:rPr>
        <w:t>On the other hand, depressing the performance of one or more peer firms is unlikely to materially affect the company</w:t>
      </w:r>
      <w:r w:rsidR="009A645E">
        <w:rPr>
          <w:rFonts w:cs="Times New Roman PS"/>
          <w:noProof w:val="0"/>
        </w:rPr>
        <w:t>’</w:t>
      </w:r>
      <w:r w:rsidRPr="005E6068">
        <w:rPr>
          <w:rFonts w:cs="Times New Roman PS"/>
          <w:noProof w:val="0"/>
        </w:rPr>
        <w:t>s shareholder return ranking among the Ru</w:t>
      </w:r>
      <w:r w:rsidR="002748B4">
        <w:rPr>
          <w:rFonts w:cs="Times New Roman PS"/>
          <w:noProof w:val="0"/>
        </w:rPr>
        <w:t>ssell 3000 companies</w:t>
      </w:r>
      <w:r w:rsidR="000E2876">
        <w:rPr>
          <w:rFonts w:cs="Times New Roman PS"/>
          <w:noProof w:val="0"/>
        </w:rPr>
        <w:t>,</w:t>
      </w:r>
      <w:r w:rsidRPr="005E6068">
        <w:rPr>
          <w:rFonts w:cs="Times New Roman PS"/>
          <w:noProof w:val="0"/>
        </w:rPr>
        <w:t xml:space="preserve"> and thus the latter design is less likely to affect competition between rival firms.</w:t>
      </w:r>
    </w:p>
    <w:p w14:paraId="20A7BA60" w14:textId="562A4497" w:rsidR="00E847CF" w:rsidRPr="005E6068" w:rsidRDefault="00E847CF" w:rsidP="001B39BE">
      <w:pPr>
        <w:pStyle w:val="Document"/>
        <w:rPr>
          <w:rFonts w:cs="Times New Roman PS"/>
          <w:noProof w:val="0"/>
        </w:rPr>
      </w:pPr>
      <w:r w:rsidRPr="005E6068">
        <w:rPr>
          <w:rFonts w:cs="Times New Roman PS"/>
          <w:noProof w:val="0"/>
        </w:rPr>
        <w:t>The nature of RPE-based metrics is also important.</w:t>
      </w:r>
      <w:r w:rsidR="00DF0A04" w:rsidRPr="005E6068">
        <w:rPr>
          <w:rFonts w:cs="Times New Roman PS"/>
          <w:noProof w:val="0"/>
        </w:rPr>
        <w:t xml:space="preserve"> </w:t>
      </w:r>
      <w:r w:rsidRPr="005E6068">
        <w:rPr>
          <w:rFonts w:cs="Times New Roman PS"/>
          <w:noProof w:val="0"/>
        </w:rPr>
        <w:t>Schmalz argues that RPE metrics reflecting company value creation, such as total shareholder return, encourage product market competition with peer firms, while margin-based metrics actually discourage such competition.</w:t>
      </w:r>
      <w:bookmarkStart w:id="42" w:name="_Ref19210478"/>
      <w:bookmarkStart w:id="43" w:name="_Ref19695808"/>
      <w:r w:rsidRPr="00F155BE">
        <w:rPr>
          <w:rStyle w:val="NoterefInText"/>
        </w:rPr>
        <w:footnoteReference w:id="43"/>
      </w:r>
      <w:bookmarkEnd w:id="42"/>
      <w:bookmarkEnd w:id="43"/>
      <w:r w:rsidR="00DF0A04" w:rsidRPr="005E6068">
        <w:rPr>
          <w:rFonts w:cs="Times New Roman PS"/>
          <w:noProof w:val="0"/>
        </w:rPr>
        <w:t xml:space="preserve"> </w:t>
      </w:r>
      <w:r w:rsidRPr="005E6068">
        <w:rPr>
          <w:rFonts w:cs="Times New Roman PS"/>
          <w:noProof w:val="0"/>
        </w:rPr>
        <w:t>For example, a company might increase its relative profits and return</w:t>
      </w:r>
      <w:r w:rsidR="002748B4">
        <w:rPr>
          <w:rFonts w:cs="Times New Roman PS"/>
          <w:noProof w:val="0"/>
        </w:rPr>
        <w:t>s</w:t>
      </w:r>
      <w:r w:rsidRPr="005E6068">
        <w:rPr>
          <w:rFonts w:cs="Times New Roman PS"/>
          <w:noProof w:val="0"/>
        </w:rPr>
        <w:t xml:space="preserve"> by increasing output and market share, but in order to maximize margins relative to </w:t>
      </w:r>
      <w:r w:rsidR="000E2876">
        <w:rPr>
          <w:rFonts w:cs="Times New Roman PS"/>
          <w:noProof w:val="0"/>
        </w:rPr>
        <w:t>it</w:t>
      </w:r>
      <w:r w:rsidRPr="005E6068">
        <w:rPr>
          <w:rFonts w:cs="Times New Roman PS"/>
          <w:noProof w:val="0"/>
        </w:rPr>
        <w:t>s peers, a company would tend to restrict its output.</w:t>
      </w:r>
      <w:r w:rsidRPr="00F155BE">
        <w:rPr>
          <w:rStyle w:val="NoterefInText"/>
        </w:rPr>
        <w:footnoteReference w:id="44"/>
      </w:r>
      <w:r w:rsidR="00DF0A04" w:rsidRPr="005E6068">
        <w:rPr>
          <w:rFonts w:cs="Times New Roman PS"/>
          <w:noProof w:val="0"/>
        </w:rPr>
        <w:t xml:space="preserve"> </w:t>
      </w:r>
      <w:r w:rsidRPr="005E6068">
        <w:rPr>
          <w:rFonts w:cs="Times New Roman PS"/>
          <w:noProof w:val="0"/>
        </w:rPr>
        <w:t xml:space="preserve">All else equal, common owners would prefer </w:t>
      </w:r>
      <w:r w:rsidR="002748B4">
        <w:rPr>
          <w:rFonts w:cs="Times New Roman PS"/>
          <w:noProof w:val="0"/>
        </w:rPr>
        <w:t xml:space="preserve">that </w:t>
      </w:r>
      <w:r w:rsidRPr="005E6068">
        <w:rPr>
          <w:rFonts w:cs="Times New Roman PS"/>
          <w:noProof w:val="0"/>
        </w:rPr>
        <w:t>their portfolio companies restrict output and push up prices.</w:t>
      </w:r>
      <w:r w:rsidR="00DF0A04" w:rsidRPr="005E6068">
        <w:rPr>
          <w:rFonts w:cs="Times New Roman PS"/>
          <w:noProof w:val="0"/>
        </w:rPr>
        <w:t xml:space="preserve"> </w:t>
      </w:r>
      <w:r w:rsidRPr="005E6068">
        <w:rPr>
          <w:rFonts w:cs="Times New Roman PS"/>
          <w:noProof w:val="0"/>
        </w:rPr>
        <w:t>So it is feasible that companies might embrace RPE while selecting metrics that do not encourage fierce product</w:t>
      </w:r>
      <w:r w:rsidR="007E31CF">
        <w:rPr>
          <w:rFonts w:cs="Times New Roman PS"/>
          <w:noProof w:val="0"/>
        </w:rPr>
        <w:t xml:space="preserve"> </w:t>
      </w:r>
      <w:r w:rsidRPr="005E6068">
        <w:rPr>
          <w:rFonts w:cs="Times New Roman PS"/>
          <w:noProof w:val="0"/>
        </w:rPr>
        <w:t>market competition between commonly owned peer firms.</w:t>
      </w:r>
      <w:r w:rsidR="00DF0A04" w:rsidRPr="005E6068">
        <w:rPr>
          <w:rFonts w:cs="Times New Roman PS"/>
          <w:noProof w:val="0"/>
        </w:rPr>
        <w:t xml:space="preserve"> </w:t>
      </w:r>
    </w:p>
    <w:p w14:paraId="5DA5C7BF" w14:textId="77777777" w:rsidR="00E847CF" w:rsidRPr="005E6068" w:rsidRDefault="00E847CF" w:rsidP="001B39BE">
      <w:pPr>
        <w:pStyle w:val="SubHead2"/>
        <w:widowControl/>
        <w:rPr>
          <w:noProof w:val="0"/>
        </w:rPr>
      </w:pPr>
      <w:bookmarkStart w:id="44" w:name="_Toc16064709"/>
      <w:bookmarkStart w:id="45" w:name="_Toc23780667"/>
      <w:r w:rsidRPr="005E6068">
        <w:rPr>
          <w:i w:val="0"/>
          <w:noProof w:val="0"/>
        </w:rPr>
        <w:t>B.</w:t>
      </w:r>
      <w:r w:rsidR="00F93AF1" w:rsidRPr="005E6068">
        <w:rPr>
          <w:i w:val="0"/>
          <w:noProof w:val="0"/>
        </w:rPr>
        <w:tab/>
      </w:r>
      <w:r w:rsidRPr="005E6068">
        <w:rPr>
          <w:noProof w:val="0"/>
        </w:rPr>
        <w:t>The Use of RPE in Executive Pay Contracts</w:t>
      </w:r>
      <w:bookmarkEnd w:id="44"/>
      <w:bookmarkEnd w:id="45"/>
    </w:p>
    <w:p w14:paraId="3BECC02E" w14:textId="7AA70163" w:rsidR="00E847CF" w:rsidRPr="005E6068" w:rsidRDefault="00E847CF" w:rsidP="001B39BE">
      <w:pPr>
        <w:pStyle w:val="Document"/>
        <w:rPr>
          <w:rFonts w:cs="Times New Roman PS"/>
          <w:noProof w:val="0"/>
        </w:rPr>
      </w:pPr>
      <w:r w:rsidRPr="005E6068">
        <w:rPr>
          <w:rFonts w:cs="Times New Roman PS"/>
          <w:noProof w:val="0"/>
        </w:rPr>
        <w:t>Prior to the mid-2000s, RPE played a relatively insignificant role in U.S. public company executive pay arrangements.</w:t>
      </w:r>
      <w:bookmarkStart w:id="46" w:name="_Ref21080132"/>
      <w:r w:rsidR="008F79AD" w:rsidRPr="00F155BE">
        <w:rPr>
          <w:rStyle w:val="NoterefInText"/>
        </w:rPr>
        <w:footnoteReference w:id="45"/>
      </w:r>
      <w:bookmarkEnd w:id="46"/>
      <w:r w:rsidR="002975E1" w:rsidRPr="005E6068">
        <w:rPr>
          <w:rFonts w:cs="Times New Roman PS"/>
          <w:noProof w:val="0"/>
        </w:rPr>
        <w:t xml:space="preserve"> </w:t>
      </w:r>
      <w:r w:rsidRPr="005E6068">
        <w:rPr>
          <w:rFonts w:cs="Times New Roman PS"/>
          <w:noProof w:val="0"/>
        </w:rPr>
        <w:t>This situation changed dramatically in the mid- to late</w:t>
      </w:r>
      <w:r w:rsidR="00135C49">
        <w:rPr>
          <w:rFonts w:cs="Times New Roman PS"/>
          <w:noProof w:val="0"/>
        </w:rPr>
        <w:t>-</w:t>
      </w:r>
      <w:r w:rsidRPr="005E6068">
        <w:rPr>
          <w:rFonts w:cs="Times New Roman PS"/>
          <w:noProof w:val="0"/>
        </w:rPr>
        <w:t xml:space="preserve">2000s and 2010s as performance awards, often including explicit RPE metrics, supplanted stock options as the dominant equity </w:t>
      </w:r>
      <w:r w:rsidRPr="005E6068">
        <w:rPr>
          <w:rFonts w:cs="Times New Roman PS"/>
          <w:noProof w:val="0"/>
        </w:rPr>
        <w:lastRenderedPageBreak/>
        <w:t>pay instrument.</w:t>
      </w:r>
      <w:r w:rsidR="002975E1" w:rsidRPr="00F155BE">
        <w:rPr>
          <w:rStyle w:val="NoterefInText"/>
        </w:rPr>
        <w:footnoteReference w:id="46"/>
      </w:r>
      <w:r w:rsidR="002975E1" w:rsidRPr="005E6068">
        <w:rPr>
          <w:rFonts w:cs="Times New Roman PS"/>
          <w:noProof w:val="0"/>
        </w:rPr>
        <w:t xml:space="preserve"> </w:t>
      </w:r>
      <w:r w:rsidRPr="005E6068">
        <w:rPr>
          <w:rFonts w:cs="Times New Roman PS"/>
          <w:noProof w:val="0"/>
        </w:rPr>
        <w:t>RPE is undoubtedly a larger feature of executive pay design today than ever before.</w:t>
      </w:r>
      <w:r w:rsidR="00DF0A04" w:rsidRPr="005E6068">
        <w:rPr>
          <w:rFonts w:cs="Times New Roman PS"/>
          <w:noProof w:val="0"/>
        </w:rPr>
        <w:t xml:space="preserve"> </w:t>
      </w:r>
      <w:r w:rsidRPr="005E6068">
        <w:rPr>
          <w:rFonts w:cs="Times New Roman PS"/>
          <w:noProof w:val="0"/>
        </w:rPr>
        <w:t xml:space="preserve">This </w:t>
      </w:r>
      <w:r w:rsidR="00F54B9F">
        <w:rPr>
          <w:rFonts w:cs="Times New Roman PS"/>
          <w:noProof w:val="0"/>
        </w:rPr>
        <w:t>S</w:t>
      </w:r>
      <w:r w:rsidR="00F54B9F" w:rsidRPr="005E6068">
        <w:rPr>
          <w:rFonts w:cs="Times New Roman PS"/>
          <w:noProof w:val="0"/>
        </w:rPr>
        <w:t xml:space="preserve">ection </w:t>
      </w:r>
      <w:r w:rsidRPr="005E6068">
        <w:rPr>
          <w:rFonts w:cs="Times New Roman PS"/>
          <w:noProof w:val="0"/>
        </w:rPr>
        <w:t>briefly describes these executive pay trends and their implications for both implicit and explicit RPE.</w:t>
      </w:r>
      <w:r w:rsidR="00DF0A04" w:rsidRPr="005E6068">
        <w:rPr>
          <w:rFonts w:cs="Times New Roman PS"/>
          <w:noProof w:val="0"/>
        </w:rPr>
        <w:t xml:space="preserve"> </w:t>
      </w:r>
    </w:p>
    <w:p w14:paraId="04957DBB" w14:textId="73F4157D" w:rsidR="00E847CF" w:rsidRPr="005E6068" w:rsidRDefault="00E847CF" w:rsidP="001B39BE">
      <w:pPr>
        <w:pStyle w:val="Document"/>
        <w:rPr>
          <w:rFonts w:cs="Times New Roman PS"/>
          <w:noProof w:val="0"/>
        </w:rPr>
      </w:pPr>
      <w:r w:rsidRPr="005E6068">
        <w:rPr>
          <w:rFonts w:cs="Times New Roman PS"/>
          <w:noProof w:val="0"/>
        </w:rPr>
        <w:t>The 1980s and 1990s witnessed explosive growth in U.S. public company executive pay</w:t>
      </w:r>
      <w:bookmarkStart w:id="47" w:name="_Ref19717219"/>
      <w:r w:rsidRPr="00F155BE">
        <w:rPr>
          <w:rStyle w:val="NoterefInText"/>
        </w:rPr>
        <w:footnoteReference w:id="47"/>
      </w:r>
      <w:bookmarkEnd w:id="47"/>
      <w:r w:rsidRPr="005E6068">
        <w:rPr>
          <w:rFonts w:cs="Times New Roman PS"/>
          <w:noProof w:val="0"/>
        </w:rPr>
        <w:t xml:space="preserve"> and a transformative shift away from an emphasis on salary and short-term</w:t>
      </w:r>
      <w:r w:rsidR="001F3F6A">
        <w:rPr>
          <w:rFonts w:cs="Times New Roman PS"/>
          <w:noProof w:val="0"/>
        </w:rPr>
        <w:t>,</w:t>
      </w:r>
      <w:r w:rsidRPr="005E6068">
        <w:rPr>
          <w:rFonts w:cs="Times New Roman PS"/>
          <w:noProof w:val="0"/>
        </w:rPr>
        <w:t xml:space="preserve"> accounting-based incentives in favor of longer-term</w:t>
      </w:r>
      <w:r w:rsidR="001F3F6A">
        <w:rPr>
          <w:rFonts w:cs="Times New Roman PS"/>
          <w:noProof w:val="0"/>
        </w:rPr>
        <w:t>,</w:t>
      </w:r>
      <w:r w:rsidRPr="005E6068">
        <w:rPr>
          <w:rFonts w:cs="Times New Roman PS"/>
          <w:noProof w:val="0"/>
        </w:rPr>
        <w:t xml:space="preserve"> equity-based pay.</w:t>
      </w:r>
      <w:r w:rsidRPr="00F155BE">
        <w:rPr>
          <w:rStyle w:val="NoterefInText"/>
        </w:rPr>
        <w:footnoteReference w:id="48"/>
      </w:r>
      <w:r w:rsidR="00DF0A04" w:rsidRPr="005E6068">
        <w:rPr>
          <w:rFonts w:cs="Times New Roman PS"/>
          <w:noProof w:val="0"/>
        </w:rPr>
        <w:t xml:space="preserve"> </w:t>
      </w:r>
      <w:r w:rsidRPr="005E6068">
        <w:rPr>
          <w:rFonts w:cs="Times New Roman PS"/>
          <w:noProof w:val="0"/>
        </w:rPr>
        <w:t>In part, this transformation was a response to criticism from economists</w:t>
      </w:r>
      <w:r w:rsidR="00F54B9F">
        <w:rPr>
          <w:rFonts w:cs="Times New Roman PS"/>
          <w:noProof w:val="0"/>
        </w:rPr>
        <w:t>,</w:t>
      </w:r>
      <w:r w:rsidRPr="005E6068">
        <w:rPr>
          <w:rFonts w:cs="Times New Roman PS"/>
          <w:noProof w:val="0"/>
        </w:rPr>
        <w:t xml:space="preserve"> such as </w:t>
      </w:r>
      <w:r w:rsidR="00F54B9F">
        <w:rPr>
          <w:rFonts w:cs="Times New Roman PS"/>
          <w:noProof w:val="0"/>
        </w:rPr>
        <w:t xml:space="preserve">Michael </w:t>
      </w:r>
      <w:r w:rsidRPr="005E6068">
        <w:rPr>
          <w:rFonts w:cs="Times New Roman PS"/>
          <w:noProof w:val="0"/>
        </w:rPr>
        <w:t xml:space="preserve">Jensen and </w:t>
      </w:r>
      <w:r w:rsidR="00F54B9F">
        <w:rPr>
          <w:rFonts w:cs="Times New Roman PS"/>
          <w:noProof w:val="0"/>
        </w:rPr>
        <w:t xml:space="preserve">Kevin </w:t>
      </w:r>
      <w:r w:rsidRPr="005E6068">
        <w:rPr>
          <w:rFonts w:cs="Times New Roman PS"/>
          <w:noProof w:val="0"/>
        </w:rPr>
        <w:t>Murphy</w:t>
      </w:r>
      <w:r w:rsidR="00F54B9F">
        <w:rPr>
          <w:rFonts w:cs="Times New Roman PS"/>
          <w:noProof w:val="0"/>
        </w:rPr>
        <w:t>,</w:t>
      </w:r>
      <w:r w:rsidRPr="005E6068">
        <w:rPr>
          <w:rFonts w:cs="Times New Roman PS"/>
          <w:noProof w:val="0"/>
        </w:rPr>
        <w:t xml:space="preserve"> who chided companies for providing insufficient performance-based incentives</w:t>
      </w:r>
      <w:r w:rsidR="00F41BD9" w:rsidRPr="005E6068">
        <w:rPr>
          <w:rFonts w:cs="Times New Roman PS"/>
          <w:noProof w:val="0"/>
        </w:rPr>
        <w:t xml:space="preserve"> and</w:t>
      </w:r>
      <w:r w:rsidRPr="005E6068">
        <w:rPr>
          <w:rFonts w:cs="Times New Roman PS"/>
          <w:noProof w:val="0"/>
        </w:rPr>
        <w:t xml:space="preserve"> paying executives like </w:t>
      </w:r>
      <w:r w:rsidR="009A645E">
        <w:rPr>
          <w:rFonts w:cs="Times New Roman PS"/>
          <w:noProof w:val="0"/>
        </w:rPr>
        <w:t>“</w:t>
      </w:r>
      <w:r w:rsidRPr="005E6068">
        <w:rPr>
          <w:rFonts w:cs="Times New Roman PS"/>
          <w:noProof w:val="0"/>
        </w:rPr>
        <w:t>bureaucrats</w:t>
      </w:r>
      <w:r w:rsidR="00F41BD9" w:rsidRPr="005E6068">
        <w:rPr>
          <w:rFonts w:cs="Times New Roman PS"/>
          <w:noProof w:val="0"/>
        </w:rPr>
        <w:t>.</w:t>
      </w:r>
      <w:r w:rsidR="009A645E">
        <w:rPr>
          <w:rFonts w:cs="Times New Roman PS"/>
          <w:noProof w:val="0"/>
        </w:rPr>
        <w:t>”</w:t>
      </w:r>
      <w:r w:rsidRPr="00F155BE">
        <w:rPr>
          <w:rStyle w:val="NoterefInText"/>
        </w:rPr>
        <w:footnoteReference w:id="49"/>
      </w:r>
      <w:r w:rsidR="002975E1" w:rsidRPr="005E6068">
        <w:rPr>
          <w:rFonts w:cs="Times New Roman PS"/>
          <w:noProof w:val="0"/>
        </w:rPr>
        <w:t xml:space="preserve"> </w:t>
      </w:r>
      <w:r w:rsidR="00F41BD9" w:rsidRPr="005E6068">
        <w:rPr>
          <w:rFonts w:cs="Times New Roman PS"/>
          <w:noProof w:val="0"/>
        </w:rPr>
        <w:t>However,</w:t>
      </w:r>
      <w:r w:rsidRPr="005E6068">
        <w:rPr>
          <w:rFonts w:cs="Times New Roman PS"/>
          <w:noProof w:val="0"/>
        </w:rPr>
        <w:t xml:space="preserve"> tax and accounting rules played major roles as well.</w:t>
      </w:r>
      <w:bookmarkStart w:id="48" w:name="_Ref19724741"/>
      <w:bookmarkStart w:id="49" w:name="_Ref19690554"/>
      <w:bookmarkStart w:id="50" w:name="_Ref430105062"/>
      <w:bookmarkStart w:id="51" w:name="_Ref19694964"/>
      <w:r w:rsidRPr="00F155BE">
        <w:rPr>
          <w:rStyle w:val="NoterefInText"/>
        </w:rPr>
        <w:footnoteReference w:id="50"/>
      </w:r>
      <w:bookmarkEnd w:id="48"/>
      <w:bookmarkEnd w:id="49"/>
      <w:bookmarkEnd w:id="50"/>
      <w:bookmarkEnd w:id="51"/>
      <w:r w:rsidR="00DF0A04" w:rsidRPr="005E6068">
        <w:rPr>
          <w:rFonts w:cs="Times New Roman PS"/>
          <w:noProof w:val="0"/>
        </w:rPr>
        <w:t xml:space="preserve"> </w:t>
      </w:r>
      <w:r w:rsidRPr="005E6068">
        <w:rPr>
          <w:rFonts w:cs="Times New Roman PS"/>
          <w:noProof w:val="0"/>
        </w:rPr>
        <w:t>The new equity-based compensation consisted primarily of stock options that rewarded executives for increases in their companies</w:t>
      </w:r>
      <w:r w:rsidR="009A645E">
        <w:rPr>
          <w:rFonts w:cs="Times New Roman PS"/>
          <w:noProof w:val="0"/>
        </w:rPr>
        <w:t>’</w:t>
      </w:r>
      <w:r w:rsidRPr="005E6068">
        <w:rPr>
          <w:rFonts w:cs="Times New Roman PS"/>
          <w:noProof w:val="0"/>
        </w:rPr>
        <w:t xml:space="preserve"> share prices and, to a lesser extent, time-vested restricted stock grants that provided shares to executives who remained with their companies for the typical three</w:t>
      </w:r>
      <w:r w:rsidR="001F3F6A">
        <w:rPr>
          <w:rFonts w:cs="Times New Roman PS"/>
          <w:noProof w:val="0"/>
        </w:rPr>
        <w:t>-</w:t>
      </w:r>
      <w:r w:rsidRPr="005E6068">
        <w:rPr>
          <w:rFonts w:cs="Times New Roman PS"/>
          <w:noProof w:val="0"/>
        </w:rPr>
        <w:t xml:space="preserve"> or four</w:t>
      </w:r>
      <w:r w:rsidR="001F3F6A">
        <w:rPr>
          <w:rFonts w:cs="Times New Roman PS"/>
          <w:noProof w:val="0"/>
        </w:rPr>
        <w:t>-</w:t>
      </w:r>
      <w:r w:rsidRPr="005E6068">
        <w:rPr>
          <w:rFonts w:cs="Times New Roman PS"/>
          <w:noProof w:val="0"/>
        </w:rPr>
        <w:t>year vesting period.</w:t>
      </w:r>
      <w:bookmarkStart w:id="52" w:name="_Ref19874485"/>
      <w:r w:rsidRPr="00F155BE">
        <w:rPr>
          <w:rStyle w:val="NoterefInText"/>
        </w:rPr>
        <w:footnoteReference w:id="51"/>
      </w:r>
      <w:bookmarkEnd w:id="52"/>
      <w:r w:rsidR="00DF0A04" w:rsidRPr="005E6068">
        <w:rPr>
          <w:rFonts w:cs="Times New Roman PS"/>
          <w:noProof w:val="0"/>
        </w:rPr>
        <w:t xml:space="preserve"> </w:t>
      </w:r>
      <w:r w:rsidRPr="005E6068">
        <w:rPr>
          <w:rFonts w:cs="Times New Roman PS"/>
          <w:noProof w:val="0"/>
        </w:rPr>
        <w:t xml:space="preserve">By 2000, 70% of senior executive pay at 350 large U.S. </w:t>
      </w:r>
      <w:r w:rsidRPr="005E6068">
        <w:rPr>
          <w:rFonts w:cs="Times New Roman PS"/>
          <w:noProof w:val="0"/>
        </w:rPr>
        <w:lastRenderedPageBreak/>
        <w:t>companies consisted of a combination of restricted stock and options, and most of that compensation took the form of options.</w:t>
      </w:r>
      <w:bookmarkStart w:id="53" w:name="_Ref19690542"/>
      <w:r w:rsidRPr="00F155BE">
        <w:rPr>
          <w:rStyle w:val="NoterefInText"/>
        </w:rPr>
        <w:footnoteReference w:id="52"/>
      </w:r>
      <w:bookmarkEnd w:id="53"/>
    </w:p>
    <w:p w14:paraId="76051A50" w14:textId="29C2AC7B" w:rsidR="00E847CF" w:rsidRPr="005E6068" w:rsidRDefault="00E847CF" w:rsidP="001B39BE">
      <w:pPr>
        <w:pStyle w:val="Document"/>
        <w:rPr>
          <w:rFonts w:cs="Times New Roman PS"/>
          <w:noProof w:val="0"/>
        </w:rPr>
      </w:pPr>
      <w:r w:rsidRPr="005E6068">
        <w:rPr>
          <w:rFonts w:cs="Times New Roman PS"/>
          <w:noProof w:val="0"/>
        </w:rPr>
        <w:t>While short-term bonuses</w:t>
      </w:r>
      <w:r w:rsidR="00B701F5" w:rsidRPr="005E6068">
        <w:rPr>
          <w:rFonts w:cs="Times New Roman PS"/>
          <w:noProof w:val="0"/>
        </w:rPr>
        <w:t xml:space="preserve"> were</w:t>
      </w:r>
      <w:r w:rsidRPr="005E6068">
        <w:rPr>
          <w:rFonts w:cs="Times New Roman PS"/>
          <w:noProof w:val="0"/>
        </w:rPr>
        <w:t xml:space="preserve"> sometimes based on accounting performance vis-à-vis that of peers and so included explicit RPE, this was rarely the case for restricted stock grants and almost never the case for stock options.</w:t>
      </w:r>
      <w:bookmarkStart w:id="54" w:name="_Ref21982280"/>
      <w:r w:rsidRPr="00F155BE">
        <w:rPr>
          <w:rStyle w:val="NoterefInText"/>
        </w:rPr>
        <w:footnoteReference w:id="53"/>
      </w:r>
      <w:bookmarkEnd w:id="54"/>
      <w:r w:rsidR="00DF0A04" w:rsidRPr="005E6068">
        <w:rPr>
          <w:rFonts w:cs="Times New Roman PS"/>
          <w:noProof w:val="0"/>
        </w:rPr>
        <w:t xml:space="preserve"> </w:t>
      </w:r>
      <w:r w:rsidRPr="005E6068">
        <w:rPr>
          <w:rFonts w:cs="Times New Roman PS"/>
          <w:noProof w:val="0"/>
        </w:rPr>
        <w:t>This was not ideal.</w:t>
      </w:r>
      <w:r w:rsidR="00DF0A04" w:rsidRPr="005E6068">
        <w:rPr>
          <w:rFonts w:cs="Times New Roman PS"/>
          <w:noProof w:val="0"/>
        </w:rPr>
        <w:t xml:space="preserve"> </w:t>
      </w:r>
      <w:r w:rsidRPr="005E6068">
        <w:rPr>
          <w:rFonts w:cs="Times New Roman PS"/>
          <w:noProof w:val="0"/>
        </w:rPr>
        <w:t>It was widely recognized that purely time-vested restricted stock and conventional stock options rewarded executives for market rises even if firm-specific performance lagged the market and also exposed executives to market risk over which they had no control.</w:t>
      </w:r>
      <w:r w:rsidR="00DF0A04" w:rsidRPr="005E6068">
        <w:rPr>
          <w:rFonts w:cs="Times New Roman PS"/>
          <w:noProof w:val="0"/>
        </w:rPr>
        <w:t xml:space="preserve"> </w:t>
      </w:r>
      <w:r w:rsidRPr="005E6068">
        <w:rPr>
          <w:rFonts w:cs="Times New Roman PS"/>
          <w:noProof w:val="0"/>
        </w:rPr>
        <w:t xml:space="preserve">In other words, these pay instruments lacked RPE. Holmstrom and other theorists </w:t>
      </w:r>
      <w:r w:rsidR="00792DAD">
        <w:rPr>
          <w:rFonts w:cs="Times New Roman PS"/>
          <w:noProof w:val="0"/>
        </w:rPr>
        <w:t xml:space="preserve">had </w:t>
      </w:r>
      <w:r w:rsidRPr="005E6068">
        <w:rPr>
          <w:rFonts w:cs="Times New Roman PS"/>
          <w:noProof w:val="0"/>
        </w:rPr>
        <w:t>explained that the efficiency of pay could be improved by factoring out market risk and focusing rewards more closely on own-firm performance</w:t>
      </w:r>
      <w:r w:rsidR="00AF6AF2">
        <w:rPr>
          <w:rFonts w:cs="Times New Roman PS"/>
          <w:noProof w:val="0"/>
        </w:rPr>
        <w:t>,</w:t>
      </w:r>
      <w:r w:rsidRPr="00F155BE">
        <w:rPr>
          <w:rStyle w:val="NoterefInText"/>
        </w:rPr>
        <w:footnoteReference w:id="54"/>
      </w:r>
      <w:r w:rsidRPr="005E6068">
        <w:rPr>
          <w:rFonts w:cs="Times New Roman PS"/>
          <w:noProof w:val="0"/>
        </w:rPr>
        <w:t xml:space="preserve"> </w:t>
      </w:r>
      <w:r w:rsidR="00AF6AF2">
        <w:rPr>
          <w:rFonts w:cs="Times New Roman PS"/>
          <w:noProof w:val="0"/>
        </w:rPr>
        <w:t>and p</w:t>
      </w:r>
      <w:r w:rsidR="007C3C0E" w:rsidRPr="005E6068">
        <w:rPr>
          <w:rFonts w:cs="Times New Roman PS"/>
          <w:noProof w:val="0"/>
        </w:rPr>
        <w:t>ractice</w:t>
      </w:r>
      <w:r w:rsidRPr="005E6068">
        <w:rPr>
          <w:rFonts w:cs="Times New Roman PS"/>
          <w:noProof w:val="0"/>
        </w:rPr>
        <w:t>-oriented commentators proposed a means for doing so</w:t>
      </w:r>
      <w:r w:rsidR="00AB596E">
        <w:rPr>
          <w:rFonts w:cs="Times New Roman PS"/>
          <w:noProof w:val="0"/>
        </w:rPr>
        <w:t xml:space="preserve">: </w:t>
      </w:r>
      <w:r w:rsidR="007C3C0E" w:rsidRPr="005E6068">
        <w:rPr>
          <w:rFonts w:cs="Times New Roman PS"/>
          <w:noProof w:val="0"/>
        </w:rPr>
        <w:t>indexing</w:t>
      </w:r>
      <w:r w:rsidRPr="005E6068">
        <w:rPr>
          <w:rFonts w:cs="Times New Roman PS"/>
          <w:noProof w:val="0"/>
        </w:rPr>
        <w:t xml:space="preserve"> the exercise price of options to the market or to a basket of stocks including peer firms.</w:t>
      </w:r>
      <w:r w:rsidRPr="00F155BE">
        <w:rPr>
          <w:rStyle w:val="NoterefInText"/>
        </w:rPr>
        <w:footnoteReference w:id="55"/>
      </w:r>
      <w:r w:rsidR="00DF0A04" w:rsidRPr="005E6068">
        <w:rPr>
          <w:rFonts w:cs="Times New Roman PS"/>
          <w:noProof w:val="0"/>
        </w:rPr>
        <w:t xml:space="preserve"> </w:t>
      </w:r>
      <w:r w:rsidRPr="005E6068">
        <w:rPr>
          <w:rFonts w:cs="Times New Roman PS"/>
          <w:noProof w:val="0"/>
        </w:rPr>
        <w:t>But for a variety of tax and accounting reasons, indexation of options did not happen.</w:t>
      </w:r>
      <w:bookmarkStart w:id="55" w:name="_Ref19690584"/>
      <w:r w:rsidRPr="00F155BE">
        <w:rPr>
          <w:rStyle w:val="NoterefInText"/>
        </w:rPr>
        <w:footnoteReference w:id="56"/>
      </w:r>
      <w:bookmarkEnd w:id="55"/>
      <w:r w:rsidR="00DF0A04" w:rsidRPr="005E6068">
        <w:rPr>
          <w:rFonts w:cs="Times New Roman PS"/>
          <w:noProof w:val="0"/>
        </w:rPr>
        <w:t xml:space="preserve"> </w:t>
      </w:r>
      <w:r w:rsidRPr="005E6068">
        <w:rPr>
          <w:rFonts w:cs="Times New Roman PS"/>
          <w:noProof w:val="0"/>
        </w:rPr>
        <w:t xml:space="preserve">So by the year </w:t>
      </w:r>
      <w:r w:rsidRPr="005E6068">
        <w:rPr>
          <w:rFonts w:cs="Times New Roman PS"/>
          <w:noProof w:val="0"/>
        </w:rPr>
        <w:lastRenderedPageBreak/>
        <w:t>2000, only a small fraction of U.S. public company executive pay included any explicit RPE.</w:t>
      </w:r>
      <w:r w:rsidR="002975E1" w:rsidRPr="00F155BE">
        <w:rPr>
          <w:rStyle w:val="NoterefInText"/>
        </w:rPr>
        <w:footnoteReference w:id="57"/>
      </w:r>
    </w:p>
    <w:p w14:paraId="3CCF75C9" w14:textId="185FFB28" w:rsidR="00E847CF" w:rsidRPr="005E6068" w:rsidRDefault="00E847CF" w:rsidP="001B39BE">
      <w:pPr>
        <w:pStyle w:val="Document"/>
        <w:rPr>
          <w:rFonts w:cs="Times New Roman PS"/>
          <w:noProof w:val="0"/>
        </w:rPr>
      </w:pPr>
      <w:r w:rsidRPr="005E6068">
        <w:rPr>
          <w:rFonts w:cs="Times New Roman PS"/>
          <w:noProof w:val="0"/>
        </w:rPr>
        <w:t>To be sure, relative performance evaluation could have factored into executive pay contracts implicitly.</w:t>
      </w:r>
      <w:r w:rsidR="00DF0A04" w:rsidRPr="005E6068">
        <w:rPr>
          <w:rFonts w:cs="Times New Roman PS"/>
          <w:noProof w:val="0"/>
        </w:rPr>
        <w:t xml:space="preserve"> </w:t>
      </w:r>
      <w:r w:rsidRPr="005E6068">
        <w:rPr>
          <w:rFonts w:cs="Times New Roman PS"/>
          <w:noProof w:val="0"/>
        </w:rPr>
        <w:t>Increases in salary, bonus targets, and equity grants might have been based, in part, on the prior year</w:t>
      </w:r>
      <w:r w:rsidR="009A645E">
        <w:rPr>
          <w:rFonts w:cs="Times New Roman PS"/>
          <w:noProof w:val="0"/>
        </w:rPr>
        <w:t>’</w:t>
      </w:r>
      <w:r w:rsidR="00CF77FC">
        <w:rPr>
          <w:rFonts w:cs="Times New Roman PS"/>
          <w:noProof w:val="0"/>
        </w:rPr>
        <w:t>s</w:t>
      </w:r>
      <w:r w:rsidRPr="005E6068">
        <w:rPr>
          <w:rFonts w:cs="Times New Roman PS"/>
          <w:noProof w:val="0"/>
        </w:rPr>
        <w:t xml:space="preserve"> </w:t>
      </w:r>
      <w:r w:rsidR="00CF77FC">
        <w:rPr>
          <w:rFonts w:cs="Times New Roman PS"/>
          <w:noProof w:val="0"/>
        </w:rPr>
        <w:t>(</w:t>
      </w:r>
      <w:r w:rsidRPr="005E6068">
        <w:rPr>
          <w:rFonts w:cs="Times New Roman PS"/>
          <w:noProof w:val="0"/>
        </w:rPr>
        <w:t>or years</w:t>
      </w:r>
      <w:r w:rsidR="009A645E">
        <w:rPr>
          <w:rFonts w:cs="Times New Roman PS"/>
          <w:noProof w:val="0"/>
        </w:rPr>
        <w:t>’</w:t>
      </w:r>
      <w:r w:rsidR="00CF77FC">
        <w:rPr>
          <w:rFonts w:cs="Times New Roman PS"/>
          <w:noProof w:val="0"/>
        </w:rPr>
        <w:t>)</w:t>
      </w:r>
      <w:r w:rsidRPr="005E6068">
        <w:rPr>
          <w:rFonts w:cs="Times New Roman PS"/>
          <w:noProof w:val="0"/>
        </w:rPr>
        <w:t xml:space="preserve"> performance relative to peer firms.</w:t>
      </w:r>
      <w:r w:rsidR="00DF0A04" w:rsidRPr="005E6068">
        <w:rPr>
          <w:rFonts w:cs="Times New Roman PS"/>
          <w:noProof w:val="0"/>
        </w:rPr>
        <w:t xml:space="preserve"> </w:t>
      </w:r>
      <w:r w:rsidRPr="005E6068">
        <w:rPr>
          <w:rFonts w:cs="Times New Roman PS"/>
          <w:noProof w:val="0"/>
        </w:rPr>
        <w:t>However, the evidence of implicit RPE in executive pay contracts during this period is modest.</w:t>
      </w:r>
      <w:r w:rsidR="00DF0A04" w:rsidRPr="005E6068">
        <w:rPr>
          <w:rFonts w:cs="Times New Roman PS"/>
          <w:noProof w:val="0"/>
        </w:rPr>
        <w:t xml:space="preserve"> </w:t>
      </w:r>
      <w:r w:rsidRPr="005E6068">
        <w:rPr>
          <w:rFonts w:cs="Times New Roman PS"/>
          <w:noProof w:val="0"/>
        </w:rPr>
        <w:t xml:space="preserve">For example, </w:t>
      </w:r>
      <w:r w:rsidR="008B6667">
        <w:rPr>
          <w:rFonts w:cs="Times New Roman PS"/>
          <w:noProof w:val="0"/>
        </w:rPr>
        <w:t xml:space="preserve">Rick </w:t>
      </w:r>
      <w:r w:rsidRPr="005E6068">
        <w:rPr>
          <w:rFonts w:cs="Times New Roman PS"/>
          <w:noProof w:val="0"/>
        </w:rPr>
        <w:t xml:space="preserve">Antle and </w:t>
      </w:r>
      <w:r w:rsidR="008B6667">
        <w:rPr>
          <w:rFonts w:cs="Times New Roman PS"/>
          <w:noProof w:val="0"/>
        </w:rPr>
        <w:t xml:space="preserve">Abbie </w:t>
      </w:r>
      <w:r w:rsidRPr="005E6068">
        <w:rPr>
          <w:rFonts w:cs="Times New Roman PS"/>
          <w:noProof w:val="0"/>
        </w:rPr>
        <w:t xml:space="preserve">Smith examined executive pay at </w:t>
      </w:r>
      <w:r w:rsidR="00D439D6">
        <w:rPr>
          <w:rFonts w:cs="Times New Roman PS"/>
          <w:noProof w:val="0"/>
        </w:rPr>
        <w:t>thirty</w:t>
      </w:r>
      <w:r w:rsidR="00CF77FC">
        <w:rPr>
          <w:rFonts w:cs="Times New Roman PS"/>
          <w:noProof w:val="0"/>
        </w:rPr>
        <w:t>-nine</w:t>
      </w:r>
      <w:r w:rsidR="00CF77FC" w:rsidRPr="005E6068">
        <w:rPr>
          <w:rFonts w:cs="Times New Roman PS"/>
          <w:noProof w:val="0"/>
        </w:rPr>
        <w:t xml:space="preserve"> </w:t>
      </w:r>
      <w:r w:rsidRPr="005E6068">
        <w:rPr>
          <w:rFonts w:cs="Times New Roman PS"/>
          <w:noProof w:val="0"/>
        </w:rPr>
        <w:t>companies within three industries between 1947 and 1977 and found only weak evidence of implicit RPE.</w:t>
      </w:r>
      <w:r w:rsidRPr="00F155BE">
        <w:rPr>
          <w:rStyle w:val="NoterefInText"/>
        </w:rPr>
        <w:footnoteReference w:id="58"/>
      </w:r>
      <w:r w:rsidR="00DF0A04" w:rsidRPr="005E6068">
        <w:rPr>
          <w:rFonts w:cs="Times New Roman PS"/>
          <w:noProof w:val="0"/>
        </w:rPr>
        <w:t xml:space="preserve"> </w:t>
      </w:r>
      <w:r w:rsidR="008B6667">
        <w:rPr>
          <w:rFonts w:cs="Times New Roman PS"/>
          <w:noProof w:val="0"/>
        </w:rPr>
        <w:t xml:space="preserve">Robert </w:t>
      </w:r>
      <w:r w:rsidRPr="005E6068">
        <w:rPr>
          <w:rFonts w:cs="Times New Roman PS"/>
          <w:noProof w:val="0"/>
        </w:rPr>
        <w:t>Gibbons and</w:t>
      </w:r>
      <w:r w:rsidR="008B6667">
        <w:rPr>
          <w:rFonts w:cs="Times New Roman PS"/>
          <w:noProof w:val="0"/>
        </w:rPr>
        <w:t xml:space="preserve"> Kevin</w:t>
      </w:r>
      <w:r w:rsidRPr="005E6068">
        <w:rPr>
          <w:rFonts w:cs="Times New Roman PS"/>
          <w:noProof w:val="0"/>
        </w:rPr>
        <w:t xml:space="preserve"> Murphy analyzed CEO pay at over </w:t>
      </w:r>
      <w:r w:rsidR="008B6667">
        <w:rPr>
          <w:rFonts w:cs="Times New Roman PS"/>
          <w:noProof w:val="0"/>
        </w:rPr>
        <w:t>1000</w:t>
      </w:r>
      <w:r w:rsidR="00CF77FC" w:rsidRPr="005E6068">
        <w:rPr>
          <w:rFonts w:cs="Times New Roman PS"/>
          <w:noProof w:val="0"/>
        </w:rPr>
        <w:t xml:space="preserve"> </w:t>
      </w:r>
      <w:r w:rsidRPr="005E6068">
        <w:rPr>
          <w:rFonts w:cs="Times New Roman PS"/>
          <w:noProof w:val="0"/>
        </w:rPr>
        <w:t>companies between 1974 and 1986 and found evidence that RPE was used implicitly in compensation and retention decisions</w:t>
      </w:r>
      <w:r w:rsidR="00FE48AC">
        <w:rPr>
          <w:rFonts w:cs="Times New Roman PS"/>
          <w:noProof w:val="0"/>
        </w:rPr>
        <w:t>;</w:t>
      </w:r>
      <w:r w:rsidRPr="005E6068">
        <w:rPr>
          <w:rFonts w:cs="Times New Roman PS"/>
          <w:noProof w:val="0"/>
        </w:rPr>
        <w:t xml:space="preserve"> </w:t>
      </w:r>
      <w:r w:rsidR="00FE48AC">
        <w:rPr>
          <w:rFonts w:cs="Times New Roman PS"/>
          <w:noProof w:val="0"/>
        </w:rPr>
        <w:t>however,</w:t>
      </w:r>
      <w:r w:rsidRPr="005E6068">
        <w:rPr>
          <w:rFonts w:cs="Times New Roman PS"/>
          <w:noProof w:val="0"/>
        </w:rPr>
        <w:t xml:space="preserve"> they also found that performance was more likely to be gauged relative to broad market movements than </w:t>
      </w:r>
      <w:r w:rsidR="00051004">
        <w:rPr>
          <w:rFonts w:cs="Times New Roman PS"/>
          <w:noProof w:val="0"/>
        </w:rPr>
        <w:t xml:space="preserve">to </w:t>
      </w:r>
      <w:r w:rsidRPr="005E6068">
        <w:rPr>
          <w:rFonts w:cs="Times New Roman PS"/>
          <w:noProof w:val="0"/>
        </w:rPr>
        <w:t>industry</w:t>
      </w:r>
      <w:r w:rsidR="00051004">
        <w:rPr>
          <w:rFonts w:cs="Times New Roman PS"/>
          <w:noProof w:val="0"/>
        </w:rPr>
        <w:t>-specific</w:t>
      </w:r>
      <w:r w:rsidRPr="005E6068">
        <w:rPr>
          <w:rFonts w:cs="Times New Roman PS"/>
          <w:noProof w:val="0"/>
        </w:rPr>
        <w:t xml:space="preserve"> performance.</w:t>
      </w:r>
      <w:r w:rsidRPr="00F155BE">
        <w:rPr>
          <w:rStyle w:val="NoterefInText"/>
        </w:rPr>
        <w:footnoteReference w:id="59"/>
      </w:r>
      <w:r w:rsidR="00DF0A04" w:rsidRPr="005E6068">
        <w:rPr>
          <w:rFonts w:cs="Times New Roman PS"/>
          <w:noProof w:val="0"/>
        </w:rPr>
        <w:t xml:space="preserve"> </w:t>
      </w:r>
      <w:r w:rsidRPr="005E6068">
        <w:rPr>
          <w:rFonts w:cs="Times New Roman PS"/>
          <w:noProof w:val="0"/>
        </w:rPr>
        <w:t xml:space="preserve">Writing in 2003, </w:t>
      </w:r>
      <w:r w:rsidR="00CF77FC">
        <w:rPr>
          <w:rFonts w:cs="Times New Roman PS"/>
          <w:noProof w:val="0"/>
        </w:rPr>
        <w:t xml:space="preserve">John </w:t>
      </w:r>
      <w:r w:rsidRPr="005E6068">
        <w:rPr>
          <w:rFonts w:cs="Times New Roman PS"/>
          <w:noProof w:val="0"/>
        </w:rPr>
        <w:t xml:space="preserve">Core, </w:t>
      </w:r>
      <w:r w:rsidR="00CF77FC">
        <w:rPr>
          <w:rFonts w:cs="Times New Roman PS"/>
          <w:noProof w:val="0"/>
        </w:rPr>
        <w:t xml:space="preserve">Wayne </w:t>
      </w:r>
      <w:r w:rsidRPr="005E6068">
        <w:rPr>
          <w:rFonts w:cs="Times New Roman PS"/>
          <w:noProof w:val="0"/>
        </w:rPr>
        <w:t xml:space="preserve">Guay, and </w:t>
      </w:r>
      <w:r w:rsidR="00CF77FC">
        <w:rPr>
          <w:rFonts w:cs="Times New Roman PS"/>
          <w:noProof w:val="0"/>
        </w:rPr>
        <w:t xml:space="preserve">David </w:t>
      </w:r>
      <w:r w:rsidRPr="005E6068">
        <w:rPr>
          <w:rFonts w:cs="Times New Roman PS"/>
          <w:noProof w:val="0"/>
        </w:rPr>
        <w:t>Larcker concluded that there was little evidence that executive bonuses included RPE.</w:t>
      </w:r>
      <w:r w:rsidRPr="00F155BE">
        <w:rPr>
          <w:rStyle w:val="NoterefInText"/>
        </w:rPr>
        <w:footnoteReference w:id="60"/>
      </w:r>
    </w:p>
    <w:p w14:paraId="7DE66A45" w14:textId="1BD69ECC" w:rsidR="00E847CF" w:rsidRPr="005E6068" w:rsidRDefault="00E847CF" w:rsidP="001B39BE">
      <w:pPr>
        <w:pStyle w:val="Document"/>
        <w:rPr>
          <w:rFonts w:cs="Times New Roman PS"/>
          <w:noProof w:val="0"/>
        </w:rPr>
      </w:pPr>
      <w:r w:rsidRPr="005E6068">
        <w:rPr>
          <w:rFonts w:cs="Times New Roman PS"/>
          <w:noProof w:val="0"/>
        </w:rPr>
        <w:t>This situation changed dramatically in the early 2000s as performance awards replaced stock options as the single largest element of most senior executive pay packages.</w:t>
      </w:r>
      <w:bookmarkStart w:id="56" w:name="_Ref19690496"/>
      <w:bookmarkStart w:id="57" w:name="_Ref19090562"/>
      <w:bookmarkStart w:id="58" w:name="_Ref430105135"/>
      <w:bookmarkStart w:id="59" w:name="_Ref18937457"/>
      <w:r w:rsidRPr="00F155BE">
        <w:rPr>
          <w:rStyle w:val="NoterefInText"/>
        </w:rPr>
        <w:footnoteReference w:id="61"/>
      </w:r>
      <w:bookmarkEnd w:id="56"/>
      <w:bookmarkEnd w:id="57"/>
      <w:bookmarkEnd w:id="58"/>
      <w:bookmarkEnd w:id="59"/>
      <w:r w:rsidR="00DF0A04" w:rsidRPr="005E6068">
        <w:rPr>
          <w:rFonts w:cs="Times New Roman PS"/>
          <w:noProof w:val="0"/>
        </w:rPr>
        <w:t xml:space="preserve"> </w:t>
      </w:r>
      <w:r w:rsidRPr="005E6068">
        <w:rPr>
          <w:rFonts w:cs="Times New Roman PS"/>
          <w:noProof w:val="0"/>
        </w:rPr>
        <w:t>Performance awards include performance-based option plans and long-term cash incentive plans that are performance based, but most performance awards consist of performance shares.</w:t>
      </w:r>
      <w:bookmarkStart w:id="60" w:name="_Ref19690467"/>
      <w:bookmarkStart w:id="61" w:name="_Ref19695184"/>
      <w:r w:rsidRPr="00F155BE">
        <w:rPr>
          <w:rStyle w:val="NoterefInText"/>
        </w:rPr>
        <w:footnoteReference w:id="62"/>
      </w:r>
      <w:bookmarkEnd w:id="60"/>
      <w:bookmarkEnd w:id="61"/>
      <w:r w:rsidR="00DF0A04" w:rsidRPr="005E6068">
        <w:rPr>
          <w:rFonts w:cs="Times New Roman PS"/>
          <w:noProof w:val="0"/>
        </w:rPr>
        <w:t xml:space="preserve"> </w:t>
      </w:r>
      <w:r w:rsidRPr="005E6068">
        <w:rPr>
          <w:rFonts w:cs="Times New Roman PS"/>
          <w:noProof w:val="0"/>
        </w:rPr>
        <w:t>Performance shares are essentially restricted stock grants that vest based on achievement of time and performance hurdles.</w:t>
      </w:r>
      <w:r w:rsidR="00DF0A04" w:rsidRPr="005E6068">
        <w:rPr>
          <w:rFonts w:cs="Times New Roman PS"/>
          <w:noProof w:val="0"/>
        </w:rPr>
        <w:t xml:space="preserve"> </w:t>
      </w:r>
      <w:r w:rsidRPr="005E6068">
        <w:rPr>
          <w:rFonts w:cs="Times New Roman PS"/>
          <w:noProof w:val="0"/>
        </w:rPr>
        <w:t>Typically, performance</w:t>
      </w:r>
      <w:r w:rsidR="0053337A">
        <w:rPr>
          <w:rFonts w:cs="Times New Roman PS"/>
          <w:noProof w:val="0"/>
        </w:rPr>
        <w:t xml:space="preserve"> </w:t>
      </w:r>
      <w:r w:rsidRPr="005E6068">
        <w:rPr>
          <w:rFonts w:cs="Times New Roman PS"/>
          <w:noProof w:val="0"/>
        </w:rPr>
        <w:t xml:space="preserve">share plans cover three-year performance periods and allow for the delivery of a variable number of shares associated with threshold, target, and maximum achievement of performance </w:t>
      </w:r>
      <w:r w:rsidRPr="005E6068">
        <w:rPr>
          <w:rFonts w:cs="Times New Roman PS"/>
          <w:noProof w:val="0"/>
        </w:rPr>
        <w:lastRenderedPageBreak/>
        <w:t>goals.</w:t>
      </w:r>
      <w:bookmarkStart w:id="62" w:name="_Ref18937349"/>
      <w:r w:rsidRPr="00F155BE">
        <w:rPr>
          <w:rStyle w:val="NoterefInText"/>
        </w:rPr>
        <w:footnoteReference w:id="63"/>
      </w:r>
      <w:bookmarkEnd w:id="62"/>
      <w:r w:rsidR="00DF0A04" w:rsidRPr="005E6068">
        <w:rPr>
          <w:rFonts w:cs="Times New Roman PS"/>
          <w:noProof w:val="0"/>
        </w:rPr>
        <w:t xml:space="preserve"> </w:t>
      </w:r>
      <w:r w:rsidRPr="005E6068">
        <w:rPr>
          <w:rFonts w:cs="Times New Roman PS"/>
          <w:noProof w:val="0"/>
        </w:rPr>
        <w:t>Beyond this, however, performance</w:t>
      </w:r>
      <w:r w:rsidR="0053337A">
        <w:rPr>
          <w:rFonts w:cs="Times New Roman PS"/>
          <w:noProof w:val="0"/>
        </w:rPr>
        <w:t xml:space="preserve"> </w:t>
      </w:r>
      <w:r w:rsidRPr="005E6068">
        <w:rPr>
          <w:rFonts w:cs="Times New Roman PS"/>
          <w:noProof w:val="0"/>
        </w:rPr>
        <w:t>share design details vary widely.</w:t>
      </w:r>
      <w:r w:rsidR="00DF0A04" w:rsidRPr="005E6068">
        <w:rPr>
          <w:rFonts w:cs="Times New Roman PS"/>
          <w:noProof w:val="0"/>
        </w:rPr>
        <w:t xml:space="preserve"> </w:t>
      </w:r>
      <w:r w:rsidRPr="005E6068">
        <w:rPr>
          <w:rFonts w:cs="Times New Roman PS"/>
          <w:noProof w:val="0"/>
        </w:rPr>
        <w:t>Plans may include absolute (firm-specific) performance goals, relative performance goals, or (increasingly) some combination of the two.</w:t>
      </w:r>
      <w:r w:rsidRPr="00F155BE">
        <w:rPr>
          <w:rStyle w:val="NoterefInText"/>
        </w:rPr>
        <w:footnoteReference w:id="64"/>
      </w:r>
      <w:r w:rsidR="00DF0A04" w:rsidRPr="005E6068">
        <w:rPr>
          <w:rFonts w:cs="Times New Roman PS"/>
          <w:noProof w:val="0"/>
        </w:rPr>
        <w:t xml:space="preserve"> </w:t>
      </w:r>
      <w:r w:rsidRPr="005E6068">
        <w:rPr>
          <w:rFonts w:cs="Times New Roman PS"/>
          <w:noProof w:val="0"/>
        </w:rPr>
        <w:t>The goals may be based on accounting results (e.g., earnings per share), market results (e.g., total shareholder return</w:t>
      </w:r>
      <w:r w:rsidR="008578C3">
        <w:rPr>
          <w:rFonts w:cs="Times New Roman PS"/>
          <w:noProof w:val="0"/>
        </w:rPr>
        <w:t>),</w:t>
      </w:r>
      <w:r w:rsidRPr="00F155BE">
        <w:rPr>
          <w:rStyle w:val="NoterefInText"/>
        </w:rPr>
        <w:footnoteReference w:id="65"/>
      </w:r>
      <w:r w:rsidRPr="005E6068">
        <w:rPr>
          <w:rFonts w:cs="Times New Roman PS"/>
          <w:noProof w:val="0"/>
        </w:rPr>
        <w:t xml:space="preserve"> or other more idiosyncratic metrics (e.g., safety performance).</w:t>
      </w:r>
      <w:r w:rsidRPr="00F155BE">
        <w:rPr>
          <w:rStyle w:val="NoterefInText"/>
        </w:rPr>
        <w:footnoteReference w:id="66"/>
      </w:r>
      <w:r w:rsidR="00DF0A04" w:rsidRPr="005E6068">
        <w:rPr>
          <w:rFonts w:cs="Times New Roman PS"/>
          <w:noProof w:val="0"/>
        </w:rPr>
        <w:t xml:space="preserve"> </w:t>
      </w:r>
      <w:r w:rsidRPr="005E6068">
        <w:rPr>
          <w:rFonts w:cs="Times New Roman PS"/>
          <w:noProof w:val="0"/>
        </w:rPr>
        <w:t>Where RPE is explicitly invoked, performance may be measured relative to a broad market index (e.g., the S&amp;P 500), an industry-specific index, or a select group of peer firms.</w:t>
      </w:r>
      <w:bookmarkStart w:id="63" w:name="_Ref19042183"/>
      <w:bookmarkStart w:id="64" w:name="_Ref430105189"/>
      <w:r w:rsidRPr="00F155BE">
        <w:rPr>
          <w:rStyle w:val="NoterefInText"/>
        </w:rPr>
        <w:footnoteReference w:id="67"/>
      </w:r>
      <w:bookmarkEnd w:id="63"/>
      <w:bookmarkEnd w:id="64"/>
      <w:r w:rsidR="00DF0A04" w:rsidRPr="005E6068">
        <w:rPr>
          <w:rFonts w:cs="Times New Roman PS"/>
          <w:noProof w:val="0"/>
        </w:rPr>
        <w:t xml:space="preserve"> </w:t>
      </w:r>
    </w:p>
    <w:p w14:paraId="0B87D97F" w14:textId="57BA193D" w:rsidR="00E847CF" w:rsidRPr="005E6068" w:rsidRDefault="00E847CF" w:rsidP="001B39BE">
      <w:pPr>
        <w:pStyle w:val="Document"/>
        <w:rPr>
          <w:rFonts w:cs="Times New Roman PS"/>
          <w:noProof w:val="0"/>
        </w:rPr>
      </w:pPr>
      <w:r w:rsidRPr="005E6068">
        <w:rPr>
          <w:rFonts w:cs="Times New Roman PS"/>
          <w:noProof w:val="0"/>
        </w:rPr>
        <w:t>Performance awards now account for the majority of the long-term incentives provided to U.S. public</w:t>
      </w:r>
      <w:r w:rsidR="00330C91">
        <w:rPr>
          <w:rFonts w:cs="Times New Roman PS"/>
          <w:noProof w:val="0"/>
        </w:rPr>
        <w:t>-</w:t>
      </w:r>
      <w:r w:rsidRPr="005E6068">
        <w:rPr>
          <w:rFonts w:cs="Times New Roman PS"/>
          <w:noProof w:val="0"/>
        </w:rPr>
        <w:t>company senior executives.</w:t>
      </w:r>
      <w:r w:rsidR="00DF0A04" w:rsidRPr="005E6068">
        <w:rPr>
          <w:rFonts w:cs="Times New Roman PS"/>
          <w:noProof w:val="0"/>
        </w:rPr>
        <w:t xml:space="preserve"> </w:t>
      </w:r>
      <w:r w:rsidRPr="005E6068">
        <w:rPr>
          <w:rFonts w:cs="Times New Roman PS"/>
          <w:noProof w:val="0"/>
        </w:rPr>
        <w:t>In an analysis of 2017 CEO compensation at the largest 300 U.S. public companies, executive pay consultants Korn Ferry found that performance awards accounted for 55% of long-term incentives at the median, with conventional options and time-vested restricted stock each accounting for about 22.5%.</w:t>
      </w:r>
      <w:bookmarkStart w:id="65" w:name="_Ref19690530"/>
      <w:r w:rsidRPr="00F155BE">
        <w:rPr>
          <w:rStyle w:val="NoterefInText"/>
        </w:rPr>
        <w:footnoteReference w:id="68"/>
      </w:r>
      <w:bookmarkEnd w:id="65"/>
    </w:p>
    <w:p w14:paraId="75AF9D7F" w14:textId="658F4AE9" w:rsidR="00E847CF" w:rsidRPr="005E6068" w:rsidRDefault="00E847CF" w:rsidP="001B39BE">
      <w:pPr>
        <w:pStyle w:val="Document"/>
        <w:rPr>
          <w:rFonts w:cs="Times New Roman PS"/>
          <w:noProof w:val="0"/>
        </w:rPr>
      </w:pPr>
      <w:r w:rsidRPr="005E6068">
        <w:rPr>
          <w:rFonts w:cs="Times New Roman PS"/>
          <w:noProof w:val="0"/>
        </w:rPr>
        <w:t>The explicit use of RPE has mushroomed as companies have embraced performance awards.</w:t>
      </w:r>
      <w:r w:rsidR="00DF0A04" w:rsidRPr="005E6068">
        <w:rPr>
          <w:rFonts w:cs="Times New Roman PS"/>
          <w:noProof w:val="0"/>
        </w:rPr>
        <w:t xml:space="preserve"> </w:t>
      </w:r>
      <w:r w:rsidRPr="005E6068">
        <w:rPr>
          <w:rFonts w:cs="Times New Roman PS"/>
          <w:noProof w:val="0"/>
        </w:rPr>
        <w:t>Because performance awards can include multiple goals, it is difficult to pinpoint the exact economic significance of RPE in executive pay contracts, but the growth is unmistakable.</w:t>
      </w:r>
      <w:r w:rsidR="00DF0A04" w:rsidRPr="005E6068">
        <w:rPr>
          <w:rFonts w:cs="Times New Roman PS"/>
          <w:noProof w:val="0"/>
        </w:rPr>
        <w:t xml:space="preserve"> </w:t>
      </w:r>
      <w:r w:rsidR="00051004">
        <w:rPr>
          <w:rFonts w:cs="Times New Roman PS"/>
          <w:noProof w:val="0"/>
        </w:rPr>
        <w:t xml:space="preserve">Rebecca </w:t>
      </w:r>
      <w:r w:rsidRPr="005E6068">
        <w:rPr>
          <w:rFonts w:cs="Times New Roman PS"/>
          <w:noProof w:val="0"/>
        </w:rPr>
        <w:t xml:space="preserve">DeSimone finds that the fraction of companies in the ISS Incentive Lab database that included explicit RPE metrics in long-term compensation awards increased from less than 15% during the height of the late 1990s/early 2000s option boom to over 50% by </w:t>
      </w:r>
      <w:r w:rsidRPr="005E6068">
        <w:rPr>
          <w:rFonts w:cs="Times New Roman PS"/>
          <w:noProof w:val="0"/>
        </w:rPr>
        <w:lastRenderedPageBreak/>
        <w:t>2014.</w:t>
      </w:r>
      <w:r w:rsidRPr="00F155BE">
        <w:rPr>
          <w:rStyle w:val="NoterefInText"/>
        </w:rPr>
        <w:footnoteReference w:id="69"/>
      </w:r>
      <w:r w:rsidR="00DF0A04" w:rsidRPr="005E6068">
        <w:rPr>
          <w:rFonts w:cs="Times New Roman PS"/>
          <w:noProof w:val="0"/>
        </w:rPr>
        <w:t xml:space="preserve"> </w:t>
      </w:r>
      <w:r w:rsidRPr="005E6068">
        <w:rPr>
          <w:rFonts w:cs="Times New Roman PS"/>
          <w:noProof w:val="0"/>
        </w:rPr>
        <w:t xml:space="preserve">Similarly, executive pay consultant Equilar reports that the </w:t>
      </w:r>
      <w:r w:rsidR="006717F1">
        <w:rPr>
          <w:rFonts w:cs="Times New Roman PS"/>
          <w:noProof w:val="0"/>
        </w:rPr>
        <w:t>percentage</w:t>
      </w:r>
      <w:r w:rsidRPr="005E6068">
        <w:rPr>
          <w:rFonts w:cs="Times New Roman PS"/>
          <w:noProof w:val="0"/>
        </w:rPr>
        <w:t xml:space="preserve"> of S&amp;P 500 companies issuing explicit RPE awards to their CEOs increased from 42% to 57% between 2011 and 2015 alone.</w:t>
      </w:r>
      <w:bookmarkStart w:id="66" w:name="_Ref22239885"/>
      <w:r w:rsidRPr="00F155BE">
        <w:rPr>
          <w:rStyle w:val="NoterefInText"/>
        </w:rPr>
        <w:footnoteReference w:id="70"/>
      </w:r>
      <w:bookmarkEnd w:id="66"/>
      <w:r w:rsidRPr="005E6068">
        <w:rPr>
          <w:rFonts w:cs="Times New Roman PS"/>
          <w:noProof w:val="0"/>
        </w:rPr>
        <w:t xml:space="preserve"> </w:t>
      </w:r>
    </w:p>
    <w:p w14:paraId="6D3A1276" w14:textId="2524C811" w:rsidR="00E847CF" w:rsidRPr="005E6068" w:rsidRDefault="00E847CF" w:rsidP="001B39BE">
      <w:pPr>
        <w:pStyle w:val="Document"/>
        <w:rPr>
          <w:rFonts w:cs="Times New Roman PS"/>
          <w:noProof w:val="0"/>
        </w:rPr>
      </w:pPr>
      <w:r w:rsidRPr="005E6068">
        <w:rPr>
          <w:rFonts w:cs="Times New Roman PS"/>
          <w:noProof w:val="0"/>
        </w:rPr>
        <w:t>To be sure, some companies may adjust discretionary compensation based on relative performance in addition to or instead of incorporating RPE explicitly into equity pay instruments.</w:t>
      </w:r>
      <w:r w:rsidR="00DF0A04" w:rsidRPr="005E6068">
        <w:rPr>
          <w:rFonts w:cs="Times New Roman PS"/>
          <w:noProof w:val="0"/>
        </w:rPr>
        <w:t xml:space="preserve"> </w:t>
      </w:r>
      <w:r w:rsidRPr="005E6068">
        <w:rPr>
          <w:rFonts w:cs="Times New Roman PS"/>
          <w:noProof w:val="0"/>
        </w:rPr>
        <w:t>But given the popularity of explicit RPE and the push from proxy advisory firms and institutional investors for RPE described in the next section, it seems likely that explicit RPE dominates implicit RPE in today</w:t>
      </w:r>
      <w:r w:rsidR="009A645E">
        <w:rPr>
          <w:rFonts w:cs="Times New Roman PS"/>
          <w:noProof w:val="0"/>
        </w:rPr>
        <w:t>’</w:t>
      </w:r>
      <w:r w:rsidRPr="005E6068">
        <w:rPr>
          <w:rFonts w:cs="Times New Roman PS"/>
          <w:noProof w:val="0"/>
        </w:rPr>
        <w:t>s executive pay landscape.</w:t>
      </w:r>
    </w:p>
    <w:p w14:paraId="67E3267C" w14:textId="77777777" w:rsidR="00E847CF" w:rsidRPr="005E6068" w:rsidRDefault="00E847CF" w:rsidP="001B39BE">
      <w:pPr>
        <w:pStyle w:val="SubHead2"/>
        <w:widowControl/>
        <w:rPr>
          <w:noProof w:val="0"/>
        </w:rPr>
      </w:pPr>
      <w:bookmarkStart w:id="67" w:name="_Toc16064710"/>
      <w:bookmarkStart w:id="68" w:name="_Toc23780668"/>
      <w:r w:rsidRPr="005E6068">
        <w:rPr>
          <w:i w:val="0"/>
          <w:noProof w:val="0"/>
        </w:rPr>
        <w:t>C.</w:t>
      </w:r>
      <w:r w:rsidR="00F93AF1" w:rsidRPr="005E6068">
        <w:rPr>
          <w:noProof w:val="0"/>
        </w:rPr>
        <w:tab/>
      </w:r>
      <w:r w:rsidRPr="005E6068">
        <w:rPr>
          <w:noProof w:val="0"/>
        </w:rPr>
        <w:t>Why Did Companies Embrace Explicit RPE in the 2000s?</w:t>
      </w:r>
      <w:bookmarkEnd w:id="67"/>
      <w:bookmarkEnd w:id="68"/>
    </w:p>
    <w:p w14:paraId="1048595D" w14:textId="7E0231F8" w:rsidR="00E847CF" w:rsidRPr="005E6068" w:rsidRDefault="00E847CF" w:rsidP="001B39BE">
      <w:pPr>
        <w:pStyle w:val="Document"/>
        <w:rPr>
          <w:rFonts w:cs="Times New Roman PS"/>
          <w:noProof w:val="0"/>
        </w:rPr>
      </w:pPr>
      <w:r w:rsidRPr="005E6068">
        <w:rPr>
          <w:rFonts w:cs="Times New Roman PS"/>
          <w:noProof w:val="0"/>
        </w:rPr>
        <w:t xml:space="preserve">This </w:t>
      </w:r>
      <w:r w:rsidR="00D50C91">
        <w:rPr>
          <w:rFonts w:cs="Times New Roman PS"/>
          <w:noProof w:val="0"/>
        </w:rPr>
        <w:t>Article</w:t>
      </w:r>
      <w:r w:rsidRPr="005E6068">
        <w:rPr>
          <w:rFonts w:cs="Times New Roman PS"/>
          <w:noProof w:val="0"/>
        </w:rPr>
        <w:t xml:space="preserve"> is primarily concerned with the current widespread adoption of RPE and its relationship with common ownership.</w:t>
      </w:r>
      <w:r w:rsidR="00DF0A04" w:rsidRPr="005E6068">
        <w:rPr>
          <w:rFonts w:cs="Times New Roman PS"/>
          <w:noProof w:val="0"/>
        </w:rPr>
        <w:t xml:space="preserve"> </w:t>
      </w:r>
      <w:r w:rsidRPr="005E6068">
        <w:rPr>
          <w:rFonts w:cs="Times New Roman PS"/>
          <w:noProof w:val="0"/>
        </w:rPr>
        <w:t>Thus, to some extent</w:t>
      </w:r>
      <w:r w:rsidR="00CD36E7">
        <w:rPr>
          <w:rFonts w:cs="Times New Roman PS"/>
          <w:noProof w:val="0"/>
        </w:rPr>
        <w:t>,</w:t>
      </w:r>
      <w:r w:rsidRPr="005E6068">
        <w:rPr>
          <w:rFonts w:cs="Times New Roman PS"/>
          <w:noProof w:val="0"/>
        </w:rPr>
        <w:t xml:space="preserve"> the reason that companies adopted explicit RPE-based award</w:t>
      </w:r>
      <w:r w:rsidR="00792DAD">
        <w:rPr>
          <w:rFonts w:cs="Times New Roman PS"/>
          <w:noProof w:val="0"/>
        </w:rPr>
        <w:t>s</w:t>
      </w:r>
      <w:r w:rsidRPr="005E6068">
        <w:rPr>
          <w:rFonts w:cs="Times New Roman PS"/>
          <w:noProof w:val="0"/>
        </w:rPr>
        <w:t xml:space="preserve"> is irrelevant.</w:t>
      </w:r>
      <w:r w:rsidR="00DF0A04" w:rsidRPr="005E6068">
        <w:rPr>
          <w:rFonts w:cs="Times New Roman PS"/>
          <w:noProof w:val="0"/>
        </w:rPr>
        <w:t xml:space="preserve"> </w:t>
      </w:r>
      <w:r w:rsidRPr="005E6068">
        <w:rPr>
          <w:rFonts w:cs="Times New Roman PS"/>
          <w:noProof w:val="0"/>
        </w:rPr>
        <w:t xml:space="preserve">Nonetheless, a brief look at </w:t>
      </w:r>
      <w:r w:rsidRPr="005E6068">
        <w:rPr>
          <w:rFonts w:cs="Times New Roman PS"/>
          <w:i/>
          <w:noProof w:val="0"/>
        </w:rPr>
        <w:t>why</w:t>
      </w:r>
      <w:r w:rsidRPr="005E6068">
        <w:rPr>
          <w:rFonts w:cs="Times New Roman PS"/>
          <w:noProof w:val="0"/>
        </w:rPr>
        <w:t xml:space="preserve"> companies embraced RPE may help us understand the contours and likely persistence of today</w:t>
      </w:r>
      <w:r w:rsidR="009A645E">
        <w:rPr>
          <w:rFonts w:cs="Times New Roman PS"/>
          <w:noProof w:val="0"/>
        </w:rPr>
        <w:t>’</w:t>
      </w:r>
      <w:r w:rsidRPr="005E6068">
        <w:rPr>
          <w:rFonts w:cs="Times New Roman PS"/>
          <w:noProof w:val="0"/>
        </w:rPr>
        <w:t>s common pay practices.</w:t>
      </w:r>
      <w:r w:rsidR="00DF0A04" w:rsidRPr="005E6068">
        <w:rPr>
          <w:rFonts w:cs="Times New Roman PS"/>
          <w:noProof w:val="0"/>
        </w:rPr>
        <w:t xml:space="preserve"> </w:t>
      </w:r>
    </w:p>
    <w:p w14:paraId="4298F0FE" w14:textId="3D2EFD83" w:rsidR="00E847CF" w:rsidRPr="005E6068" w:rsidRDefault="00E847CF" w:rsidP="001B39BE">
      <w:pPr>
        <w:pStyle w:val="Document"/>
        <w:rPr>
          <w:rFonts w:cs="Times New Roman PS"/>
          <w:noProof w:val="0"/>
        </w:rPr>
      </w:pPr>
      <w:r w:rsidRPr="005E6068">
        <w:rPr>
          <w:rFonts w:cs="Times New Roman PS"/>
          <w:noProof w:val="0"/>
        </w:rPr>
        <w:t xml:space="preserve">While </w:t>
      </w:r>
      <w:r w:rsidR="00CD36E7">
        <w:rPr>
          <w:rFonts w:cs="Times New Roman PS"/>
          <w:noProof w:val="0"/>
        </w:rPr>
        <w:t>certainly n</w:t>
      </w:r>
      <w:r w:rsidRPr="005E6068">
        <w:rPr>
          <w:rFonts w:cs="Times New Roman PS"/>
          <w:noProof w:val="0"/>
        </w:rPr>
        <w:t xml:space="preserve">ot </w:t>
      </w:r>
      <w:r w:rsidR="00051004">
        <w:rPr>
          <w:rFonts w:cs="Times New Roman PS"/>
          <w:noProof w:val="0"/>
        </w:rPr>
        <w:t>perfectly</w:t>
      </w:r>
      <w:r w:rsidR="00CD36E7">
        <w:rPr>
          <w:rFonts w:cs="Times New Roman PS"/>
          <w:noProof w:val="0"/>
        </w:rPr>
        <w:t xml:space="preserve"> </w:t>
      </w:r>
      <w:r w:rsidRPr="005E6068">
        <w:rPr>
          <w:rFonts w:cs="Times New Roman PS"/>
          <w:noProof w:val="0"/>
        </w:rPr>
        <w:t>clear, the largest factor in the widespread adoption of explicit RPE metrics in long-term executive pay arrangements was likely the move away from stock options in the early 2000s.</w:t>
      </w:r>
      <w:r w:rsidRPr="00F155BE">
        <w:rPr>
          <w:rStyle w:val="NoterefInText"/>
        </w:rPr>
        <w:footnoteReference w:id="71"/>
      </w:r>
      <w:r w:rsidR="00DF0A04" w:rsidRPr="005E6068">
        <w:rPr>
          <w:rFonts w:cs="Times New Roman PS"/>
          <w:noProof w:val="0"/>
        </w:rPr>
        <w:t xml:space="preserve"> </w:t>
      </w:r>
      <w:r w:rsidRPr="005E6068">
        <w:rPr>
          <w:rFonts w:cs="Times New Roman PS"/>
          <w:noProof w:val="0"/>
        </w:rPr>
        <w:t>Encouraged by tax and accounting preferences, U.S. public companies embraced stock options as the primary long-term incentive pay vehicle in the 1990s.</w:t>
      </w:r>
      <w:r w:rsidRPr="00F155BE">
        <w:rPr>
          <w:rStyle w:val="NoterefInText"/>
        </w:rPr>
        <w:footnoteReference w:id="72"/>
      </w:r>
      <w:r w:rsidR="00DF0A04" w:rsidRPr="005E6068">
        <w:rPr>
          <w:rFonts w:cs="Times New Roman PS"/>
          <w:noProof w:val="0"/>
        </w:rPr>
        <w:t xml:space="preserve"> </w:t>
      </w:r>
      <w:r w:rsidRPr="005E6068">
        <w:rPr>
          <w:rFonts w:cs="Times New Roman PS"/>
          <w:noProof w:val="0"/>
        </w:rPr>
        <w:t>In theory, stock options could have been designed to include RPE.</w:t>
      </w:r>
      <w:r w:rsidR="00DF0A04" w:rsidRPr="005E6068">
        <w:rPr>
          <w:rFonts w:cs="Times New Roman PS"/>
          <w:noProof w:val="0"/>
        </w:rPr>
        <w:t xml:space="preserve"> </w:t>
      </w:r>
      <w:r w:rsidRPr="005E6068">
        <w:rPr>
          <w:rFonts w:cs="Times New Roman PS"/>
          <w:noProof w:val="0"/>
        </w:rPr>
        <w:t>The exercise price of options could have been indexed to a measure of industry or market performance, such that payouts would be based on firm-specific performance</w:t>
      </w:r>
      <w:r w:rsidR="009901FE" w:rsidRPr="005E6068">
        <w:rPr>
          <w:rFonts w:cs="Times New Roman PS"/>
          <w:noProof w:val="0"/>
        </w:rPr>
        <w:t>, but</w:t>
      </w:r>
      <w:r w:rsidRPr="005E6068">
        <w:rPr>
          <w:rFonts w:cs="Times New Roman PS"/>
          <w:noProof w:val="0"/>
        </w:rPr>
        <w:t xml:space="preserve"> tax and accounting rules effectively prevented companies from adopting indexed options.</w:t>
      </w:r>
      <w:r w:rsidRPr="00F155BE">
        <w:rPr>
          <w:rStyle w:val="NoterefInText"/>
        </w:rPr>
        <w:footnoteReference w:id="73"/>
      </w:r>
      <w:r w:rsidR="00DF0A04" w:rsidRPr="005E6068">
        <w:rPr>
          <w:rFonts w:cs="Times New Roman PS"/>
          <w:noProof w:val="0"/>
        </w:rPr>
        <w:t xml:space="preserve"> </w:t>
      </w:r>
    </w:p>
    <w:p w14:paraId="0062208F" w14:textId="6EE243FE" w:rsidR="00E847CF" w:rsidRPr="005E6068" w:rsidRDefault="00E847CF" w:rsidP="001B39BE">
      <w:pPr>
        <w:pStyle w:val="Document"/>
        <w:rPr>
          <w:rFonts w:cs="Times New Roman PS"/>
          <w:noProof w:val="0"/>
        </w:rPr>
      </w:pPr>
      <w:r w:rsidRPr="005E6068">
        <w:rPr>
          <w:rFonts w:cs="Times New Roman PS"/>
          <w:noProof w:val="0"/>
        </w:rPr>
        <w:t xml:space="preserve">However, reliance on options declined precipitously in the 2000s with the burst </w:t>
      </w:r>
      <w:r w:rsidR="00CD36E7">
        <w:rPr>
          <w:rFonts w:cs="Times New Roman PS"/>
          <w:noProof w:val="0"/>
        </w:rPr>
        <w:t>of</w:t>
      </w:r>
      <w:r w:rsidRPr="005E6068">
        <w:rPr>
          <w:rFonts w:cs="Times New Roman PS"/>
          <w:noProof w:val="0"/>
        </w:rPr>
        <w:t xml:space="preserve"> the dot-com bubble and the end to irrational exuberance and with the 2004 (effective 2006) revision of U.S. accounting rules to level the playing field between options and other forms of compensation.</w:t>
      </w:r>
      <w:r w:rsidRPr="00F155BE">
        <w:rPr>
          <w:rStyle w:val="NoterefInText"/>
        </w:rPr>
        <w:footnoteReference w:id="74"/>
      </w:r>
      <w:r w:rsidR="00DF0A04" w:rsidRPr="005E6068">
        <w:rPr>
          <w:rFonts w:cs="Times New Roman PS"/>
          <w:noProof w:val="0"/>
        </w:rPr>
        <w:t xml:space="preserve"> </w:t>
      </w:r>
      <w:r w:rsidRPr="005E6068">
        <w:rPr>
          <w:rFonts w:cs="Times New Roman PS"/>
          <w:noProof w:val="0"/>
        </w:rPr>
        <w:t xml:space="preserve">In addition, stock options </w:t>
      </w:r>
      <w:r w:rsidRPr="005E6068">
        <w:rPr>
          <w:rFonts w:cs="Times New Roman PS"/>
          <w:noProof w:val="0"/>
        </w:rPr>
        <w:lastRenderedPageBreak/>
        <w:t>took on a negative connotation in the wake of options-related scandals at Enron, WorldCom, and Tyco in the early 2000s and with the option backdating scandal that followed a few years later.</w:t>
      </w:r>
      <w:r w:rsidRPr="00F155BE">
        <w:rPr>
          <w:rStyle w:val="NoterefInText"/>
        </w:rPr>
        <w:footnoteReference w:id="75"/>
      </w:r>
      <w:r w:rsidR="00DF0A04" w:rsidRPr="005E6068">
        <w:rPr>
          <w:rFonts w:cs="Times New Roman PS"/>
          <w:noProof w:val="0"/>
        </w:rPr>
        <w:t xml:space="preserve"> </w:t>
      </w:r>
      <w:r w:rsidRPr="005E6068">
        <w:rPr>
          <w:rFonts w:cs="Times New Roman PS"/>
          <w:noProof w:val="0"/>
        </w:rPr>
        <w:t>With options out of favor, companies turned to other equity-based tools, including restricted stock, to provide medium</w:t>
      </w:r>
      <w:r w:rsidR="00CD36E7">
        <w:rPr>
          <w:rFonts w:cs="Times New Roman PS"/>
          <w:noProof w:val="0"/>
        </w:rPr>
        <w:t>-</w:t>
      </w:r>
      <w:r w:rsidRPr="005E6068">
        <w:rPr>
          <w:rFonts w:cs="Times New Roman PS"/>
          <w:noProof w:val="0"/>
        </w:rPr>
        <w:t xml:space="preserve"> to long-term incentives.</w:t>
      </w:r>
      <w:r w:rsidR="00DF0A04" w:rsidRPr="005E6068">
        <w:rPr>
          <w:rFonts w:cs="Times New Roman PS"/>
          <w:noProof w:val="0"/>
        </w:rPr>
        <w:t xml:space="preserve"> </w:t>
      </w:r>
      <w:r w:rsidRPr="005E6068">
        <w:rPr>
          <w:rFonts w:cs="Times New Roman PS"/>
          <w:noProof w:val="0"/>
        </w:rPr>
        <w:t>But restricted stock had its own credibility problem</w:t>
      </w:r>
      <w:r w:rsidR="00C9477A" w:rsidRPr="005E6068">
        <w:rPr>
          <w:rFonts w:cs="Times New Roman PS"/>
          <w:noProof w:val="0"/>
        </w:rPr>
        <w:t>.</w:t>
      </w:r>
      <w:r w:rsidR="00DF0A04" w:rsidRPr="005E6068">
        <w:rPr>
          <w:rFonts w:cs="Times New Roman PS"/>
          <w:noProof w:val="0"/>
        </w:rPr>
        <w:t xml:space="preserve"> </w:t>
      </w:r>
      <w:r w:rsidRPr="005E6068">
        <w:rPr>
          <w:rFonts w:cs="Times New Roman PS"/>
          <w:noProof w:val="0"/>
        </w:rPr>
        <w:t>By this point, shareholder advocates and proxy advisory firms had thoroughly embraced the position that executive pay should be linked closely with firm performance, and conventional</w:t>
      </w:r>
      <w:r w:rsidR="00C776A1">
        <w:rPr>
          <w:rFonts w:cs="Times New Roman PS"/>
          <w:noProof w:val="0"/>
        </w:rPr>
        <w:t>,</w:t>
      </w:r>
      <w:r w:rsidRPr="005E6068">
        <w:rPr>
          <w:rFonts w:cs="Times New Roman PS"/>
          <w:noProof w:val="0"/>
        </w:rPr>
        <w:t xml:space="preserve"> time-vested restricted stock</w:t>
      </w:r>
      <w:r w:rsidR="00CD36E7">
        <w:rPr>
          <w:rFonts w:cs="Times"/>
          <w:noProof w:val="0"/>
        </w:rPr>
        <w:t>—</w:t>
      </w:r>
      <w:r w:rsidRPr="005E6068">
        <w:rPr>
          <w:rFonts w:cs="Times New Roman PS"/>
          <w:noProof w:val="0"/>
        </w:rPr>
        <w:t xml:space="preserve">sometimes derisively referred to as </w:t>
      </w:r>
      <w:r w:rsidR="009A645E">
        <w:rPr>
          <w:rFonts w:cs="Times New Roman PS"/>
          <w:noProof w:val="0"/>
        </w:rPr>
        <w:t>“</w:t>
      </w:r>
      <w:r w:rsidRPr="005E6068">
        <w:rPr>
          <w:rFonts w:cs="Times New Roman PS"/>
          <w:noProof w:val="0"/>
        </w:rPr>
        <w:t>pay</w:t>
      </w:r>
      <w:r w:rsidR="00051004">
        <w:rPr>
          <w:rFonts w:cs="Times New Roman PS"/>
          <w:noProof w:val="0"/>
        </w:rPr>
        <w:t xml:space="preserve"> </w:t>
      </w:r>
      <w:r w:rsidRPr="005E6068">
        <w:rPr>
          <w:rFonts w:cs="Times New Roman PS"/>
          <w:noProof w:val="0"/>
        </w:rPr>
        <w:t>for</w:t>
      </w:r>
      <w:r w:rsidR="00051004">
        <w:rPr>
          <w:rFonts w:cs="Times New Roman PS"/>
          <w:noProof w:val="0"/>
        </w:rPr>
        <w:t xml:space="preserve"> </w:t>
      </w:r>
      <w:r w:rsidRPr="005E6068">
        <w:rPr>
          <w:rFonts w:cs="Times New Roman PS"/>
          <w:noProof w:val="0"/>
        </w:rPr>
        <w:t>pulse</w:t>
      </w:r>
      <w:r w:rsidR="009A645E">
        <w:rPr>
          <w:rFonts w:cs="Times New Roman PS"/>
          <w:noProof w:val="0"/>
        </w:rPr>
        <w:t>”</w:t>
      </w:r>
      <w:r w:rsidR="00CD36E7">
        <w:rPr>
          <w:rFonts w:cs="Times"/>
          <w:noProof w:val="0"/>
        </w:rPr>
        <w:t>—</w:t>
      </w:r>
      <w:r w:rsidRPr="005E6068">
        <w:rPr>
          <w:rFonts w:cs="Times New Roman PS"/>
          <w:noProof w:val="0"/>
        </w:rPr>
        <w:t>was not viewed as being sufficiently performance-based for many stakeholders.</w:t>
      </w:r>
      <w:r w:rsidRPr="00F155BE">
        <w:rPr>
          <w:rStyle w:val="NoterefInText"/>
        </w:rPr>
        <w:footnoteReference w:id="76"/>
      </w:r>
      <w:r w:rsidR="00DF0A04" w:rsidRPr="005E6068">
        <w:rPr>
          <w:rFonts w:cs="Times New Roman PS"/>
          <w:noProof w:val="0"/>
        </w:rPr>
        <w:t xml:space="preserve"> </w:t>
      </w:r>
      <w:r w:rsidRPr="005E6068">
        <w:rPr>
          <w:rFonts w:cs="Times New Roman PS"/>
          <w:noProof w:val="0"/>
        </w:rPr>
        <w:t xml:space="preserve">However, performance-vesting conditions could be added to restricted stock without triggering any adverse tax or accounting consequences, and, of course, this is </w:t>
      </w:r>
      <w:r w:rsidR="00051004">
        <w:rPr>
          <w:rFonts w:cs="Times New Roman PS"/>
          <w:noProof w:val="0"/>
        </w:rPr>
        <w:t>what companies did, increasingly,</w:t>
      </w:r>
      <w:r w:rsidRPr="005E6068">
        <w:rPr>
          <w:rFonts w:cs="Times New Roman PS"/>
          <w:noProof w:val="0"/>
        </w:rPr>
        <w:t xml:space="preserve"> beginning in the 2000s.</w:t>
      </w:r>
      <w:r w:rsidRPr="00F155BE">
        <w:rPr>
          <w:rStyle w:val="NoterefInText"/>
        </w:rPr>
        <w:footnoteReference w:id="77"/>
      </w:r>
    </w:p>
    <w:p w14:paraId="4F87D116" w14:textId="58EDAB31" w:rsidR="00E847CF" w:rsidRPr="005E6068" w:rsidRDefault="00E847CF" w:rsidP="001B39BE">
      <w:pPr>
        <w:pStyle w:val="Document"/>
        <w:rPr>
          <w:rFonts w:cs="Times New Roman PS"/>
          <w:noProof w:val="0"/>
        </w:rPr>
      </w:pPr>
      <w:r w:rsidRPr="005E6068">
        <w:rPr>
          <w:rFonts w:cs="Times New Roman PS"/>
          <w:noProof w:val="0"/>
        </w:rPr>
        <w:t xml:space="preserve">To be sure, there was no inherent requirement that performance conditions placed on restricted stock be </w:t>
      </w:r>
      <w:r w:rsidRPr="005E6068">
        <w:rPr>
          <w:rFonts w:cs="Times New Roman PS"/>
          <w:i/>
          <w:noProof w:val="0"/>
        </w:rPr>
        <w:t>relative</w:t>
      </w:r>
      <w:r w:rsidRPr="005E6068">
        <w:rPr>
          <w:rFonts w:cs="Times New Roman PS"/>
          <w:noProof w:val="0"/>
        </w:rPr>
        <w:t xml:space="preserve"> performance conditions.</w:t>
      </w:r>
      <w:r w:rsidR="00DF0A04" w:rsidRPr="005E6068">
        <w:rPr>
          <w:rFonts w:cs="Times New Roman PS"/>
          <w:noProof w:val="0"/>
        </w:rPr>
        <w:t xml:space="preserve"> </w:t>
      </w:r>
      <w:r w:rsidRPr="005E6068">
        <w:rPr>
          <w:rFonts w:cs="Times New Roman PS"/>
          <w:noProof w:val="0"/>
        </w:rPr>
        <w:t>The adoption of absolute performance conditions may have been sufficient for many stakeholders.</w:t>
      </w:r>
      <w:r w:rsidR="00DF0A04" w:rsidRPr="005E6068">
        <w:rPr>
          <w:rFonts w:cs="Times New Roman PS"/>
          <w:noProof w:val="0"/>
        </w:rPr>
        <w:t xml:space="preserve"> </w:t>
      </w:r>
      <w:r w:rsidRPr="005E6068">
        <w:rPr>
          <w:rFonts w:cs="Times New Roman PS"/>
          <w:noProof w:val="0"/>
        </w:rPr>
        <w:t>But once performance conditions were dictated and the accounting and tax obstacles to the adoption of RPE were eliminated, it is perhaps not surprising that many companies</w:t>
      </w:r>
      <w:r w:rsidR="00C776A1">
        <w:rPr>
          <w:rFonts w:cs="Times New Roman PS"/>
          <w:noProof w:val="0"/>
        </w:rPr>
        <w:t xml:space="preserve"> would </w:t>
      </w:r>
      <w:r w:rsidRPr="005E6068">
        <w:rPr>
          <w:rFonts w:cs="Times New Roman PS"/>
          <w:noProof w:val="0"/>
        </w:rPr>
        <w:t>embrace RPE as consistent with compensation theory and common sense.</w:t>
      </w:r>
    </w:p>
    <w:p w14:paraId="7A0865FD" w14:textId="37C5A19B" w:rsidR="00E847CF" w:rsidRPr="005E6068" w:rsidRDefault="00E847CF" w:rsidP="001B39BE">
      <w:pPr>
        <w:pStyle w:val="Document"/>
        <w:rPr>
          <w:rFonts w:cs="Times New Roman PS"/>
          <w:noProof w:val="0"/>
        </w:rPr>
      </w:pPr>
      <w:r w:rsidRPr="005E6068">
        <w:rPr>
          <w:rFonts w:cs="Times New Roman PS"/>
          <w:noProof w:val="0"/>
        </w:rPr>
        <w:t>An additional push for RPE came from two sources.</w:t>
      </w:r>
      <w:r w:rsidR="00DF0A04" w:rsidRPr="005E6068">
        <w:rPr>
          <w:rFonts w:cs="Times New Roman PS"/>
          <w:noProof w:val="0"/>
        </w:rPr>
        <w:t xml:space="preserve"> </w:t>
      </w:r>
      <w:r w:rsidRPr="005E6068">
        <w:rPr>
          <w:rFonts w:cs="Times New Roman PS"/>
          <w:noProof w:val="0"/>
        </w:rPr>
        <w:t>First, the large institutional investors (who are also the largest common owners and might be expected to disfavor RPE if compensation is a mechanism for dampening competition) at least superficially promoted relative evaluation.</w:t>
      </w:r>
      <w:bookmarkStart w:id="69" w:name="_Ref18938927"/>
      <w:r w:rsidRPr="00F155BE">
        <w:rPr>
          <w:rStyle w:val="NoterefInText"/>
        </w:rPr>
        <w:footnoteReference w:id="78"/>
      </w:r>
      <w:bookmarkEnd w:id="69"/>
      <w:r w:rsidR="00DF0A04" w:rsidRPr="005E6068">
        <w:rPr>
          <w:rFonts w:cs="Times New Roman PS"/>
          <w:noProof w:val="0"/>
        </w:rPr>
        <w:t xml:space="preserve"> </w:t>
      </w:r>
      <w:r w:rsidRPr="005E6068">
        <w:rPr>
          <w:rFonts w:cs="Times New Roman PS"/>
          <w:noProof w:val="0"/>
        </w:rPr>
        <w:t xml:space="preserve">Second, the </w:t>
      </w:r>
      <w:r w:rsidRPr="005E6068">
        <w:rPr>
          <w:rFonts w:cs="Times New Roman PS"/>
          <w:noProof w:val="0"/>
        </w:rPr>
        <w:lastRenderedPageBreak/>
        <w:t>proxy advisory firms adopted executive pay guidelines that encouraged the use of RPE.</w:t>
      </w:r>
      <w:r w:rsidR="00DF0A04" w:rsidRPr="005E6068">
        <w:rPr>
          <w:rFonts w:cs="Times New Roman PS"/>
          <w:noProof w:val="0"/>
        </w:rPr>
        <w:t xml:space="preserve"> </w:t>
      </w:r>
      <w:r w:rsidRPr="005E6068">
        <w:rPr>
          <w:rFonts w:cs="Times New Roman PS"/>
          <w:noProof w:val="0"/>
        </w:rPr>
        <w:t>For example, in its discussion of its approach to executive compensation analysis, proxy advisor Glass Lewis states:</w:t>
      </w:r>
      <w:r w:rsidR="00314195" w:rsidRPr="005E6068">
        <w:rPr>
          <w:rFonts w:cs="Times New Roman PS"/>
          <w:noProof w:val="0"/>
        </w:rPr>
        <w:t xml:space="preserve"> </w:t>
      </w:r>
      <w:r w:rsidR="009A645E">
        <w:rPr>
          <w:rFonts w:cs="Times New Roman PS"/>
          <w:noProof w:val="0"/>
        </w:rPr>
        <w:t>“</w:t>
      </w:r>
      <w:r w:rsidRPr="005E6068">
        <w:rPr>
          <w:rFonts w:cs="Times New Roman PS"/>
          <w:noProof w:val="0"/>
        </w:rPr>
        <w:t>[W]e believe executive compensation should be closely tied not to absolute or overall performance but rather to the company</w:t>
      </w:r>
      <w:r w:rsidR="009A645E">
        <w:rPr>
          <w:rFonts w:cs="Times New Roman PS"/>
          <w:noProof w:val="0"/>
        </w:rPr>
        <w:t>’</w:t>
      </w:r>
      <w:r w:rsidRPr="005E6068">
        <w:rPr>
          <w:rFonts w:cs="Times New Roman PS"/>
          <w:noProof w:val="0"/>
        </w:rPr>
        <w:t>s track record of performance relative to its peers.</w:t>
      </w:r>
      <w:r w:rsidR="00DF0A04" w:rsidRPr="005E6068">
        <w:rPr>
          <w:rFonts w:cs="Times New Roman PS"/>
          <w:noProof w:val="0"/>
        </w:rPr>
        <w:t xml:space="preserve"> </w:t>
      </w:r>
      <w:r w:rsidRPr="005E6068">
        <w:rPr>
          <w:rFonts w:cs="Times New Roman PS"/>
          <w:noProof w:val="0"/>
        </w:rPr>
        <w:t>Management should be especially rewarded for directing the company in a manner that outperforms its peers.</w:t>
      </w:r>
      <w:r w:rsidR="009A645E">
        <w:rPr>
          <w:rFonts w:cs="Times New Roman PS"/>
          <w:noProof w:val="0"/>
        </w:rPr>
        <w:t>”</w:t>
      </w:r>
      <w:bookmarkStart w:id="70" w:name="_Ref21087584"/>
      <w:r w:rsidRPr="00F155BE">
        <w:rPr>
          <w:rStyle w:val="NoterefInText"/>
        </w:rPr>
        <w:footnoteReference w:id="79"/>
      </w:r>
      <w:bookmarkEnd w:id="70"/>
    </w:p>
    <w:p w14:paraId="2F3D8C47" w14:textId="09AD6B0E" w:rsidR="00E847CF" w:rsidRPr="005E6068" w:rsidRDefault="00E847CF" w:rsidP="001B39BE">
      <w:pPr>
        <w:pStyle w:val="Document"/>
        <w:rPr>
          <w:rFonts w:cs="Times New Roman PS"/>
          <w:noProof w:val="0"/>
        </w:rPr>
      </w:pPr>
      <w:r w:rsidRPr="005E6068">
        <w:rPr>
          <w:rFonts w:cs="Times New Roman PS"/>
          <w:noProof w:val="0"/>
        </w:rPr>
        <w:t>Moreover, the proxy advisory firms have explicitly incorporated RPE in their evaluation processes.</w:t>
      </w:r>
      <w:r w:rsidR="00DF0A04" w:rsidRPr="005E6068">
        <w:rPr>
          <w:rFonts w:cs="Times New Roman PS"/>
          <w:noProof w:val="0"/>
        </w:rPr>
        <w:t xml:space="preserve"> </w:t>
      </w:r>
      <w:r w:rsidRPr="005E6068">
        <w:rPr>
          <w:rFonts w:cs="Times New Roman PS"/>
          <w:noProof w:val="0"/>
        </w:rPr>
        <w:t>Glass Lewis</w:t>
      </w:r>
      <w:r w:rsidR="009A645E">
        <w:rPr>
          <w:rFonts w:cs="Times New Roman PS"/>
          <w:noProof w:val="0"/>
        </w:rPr>
        <w:t>’</w:t>
      </w:r>
      <w:r w:rsidRPr="005E6068">
        <w:rPr>
          <w:rFonts w:cs="Times New Roman PS"/>
          <w:noProof w:val="0"/>
        </w:rPr>
        <w:t>s proprietary pay-for-performance model is based on a comparison of executive compensatio</w:t>
      </w:r>
      <w:r w:rsidR="005E19A5">
        <w:rPr>
          <w:rFonts w:cs="Times New Roman PS"/>
          <w:noProof w:val="0"/>
        </w:rPr>
        <w:t>n, total shareholder return, earnings</w:t>
      </w:r>
      <w:r w:rsidR="009D6503">
        <w:rPr>
          <w:rFonts w:cs="Times New Roman PS"/>
          <w:noProof w:val="0"/>
        </w:rPr>
        <w:t>-</w:t>
      </w:r>
      <w:r w:rsidR="005E19A5">
        <w:rPr>
          <w:rFonts w:cs="Times New Roman PS"/>
          <w:noProof w:val="0"/>
        </w:rPr>
        <w:t>per</w:t>
      </w:r>
      <w:r w:rsidR="009D6503">
        <w:rPr>
          <w:rFonts w:cs="Times New Roman PS"/>
          <w:noProof w:val="0"/>
        </w:rPr>
        <w:t>-</w:t>
      </w:r>
      <w:r w:rsidR="005E19A5">
        <w:rPr>
          <w:rFonts w:cs="Times New Roman PS"/>
          <w:noProof w:val="0"/>
        </w:rPr>
        <w:t>share</w:t>
      </w:r>
      <w:r w:rsidRPr="005E6068">
        <w:rPr>
          <w:rFonts w:cs="Times New Roman PS"/>
          <w:noProof w:val="0"/>
        </w:rPr>
        <w:t xml:space="preserve"> growth, change in operating cash flow, </w:t>
      </w:r>
      <w:r w:rsidR="005E19A5">
        <w:rPr>
          <w:rFonts w:cs="Times New Roman PS"/>
          <w:noProof w:val="0"/>
        </w:rPr>
        <w:t>return on equity, and return on assets</w:t>
      </w:r>
      <w:r w:rsidRPr="005E6068">
        <w:rPr>
          <w:rFonts w:cs="Times New Roman PS"/>
          <w:noProof w:val="0"/>
        </w:rPr>
        <w:t xml:space="preserve"> at the target company and at a selected group of peer companies.</w:t>
      </w:r>
      <w:r w:rsidRPr="00F155BE">
        <w:rPr>
          <w:rStyle w:val="NoterefInText"/>
        </w:rPr>
        <w:footnoteReference w:id="80"/>
      </w:r>
    </w:p>
    <w:p w14:paraId="673B52E3" w14:textId="596765D2" w:rsidR="00E847CF" w:rsidRPr="005E6068" w:rsidRDefault="00E847CF" w:rsidP="001B39BE">
      <w:pPr>
        <w:pStyle w:val="Document"/>
        <w:rPr>
          <w:rFonts w:cs="Times New Roman PS"/>
          <w:noProof w:val="0"/>
        </w:rPr>
      </w:pPr>
      <w:r w:rsidRPr="005E6068">
        <w:rPr>
          <w:rFonts w:cs="Times New Roman PS"/>
          <w:noProof w:val="0"/>
        </w:rPr>
        <w:t>Similarly, the most influential proxy advisory firm, Institutional Shareholder Services (</w:t>
      </w:r>
      <w:r w:rsidR="009A645E">
        <w:rPr>
          <w:rFonts w:cs="Times New Roman PS"/>
          <w:noProof w:val="0"/>
        </w:rPr>
        <w:t>“</w:t>
      </w:r>
      <w:r w:rsidRPr="005E6068">
        <w:rPr>
          <w:rFonts w:cs="Times New Roman PS"/>
          <w:noProof w:val="0"/>
        </w:rPr>
        <w:t>ISS</w:t>
      </w:r>
      <w:r w:rsidR="009A645E">
        <w:rPr>
          <w:rFonts w:cs="Times New Roman PS"/>
          <w:noProof w:val="0"/>
        </w:rPr>
        <w:t>”</w:t>
      </w:r>
      <w:r w:rsidRPr="005E6068">
        <w:rPr>
          <w:rFonts w:cs="Times New Roman PS"/>
          <w:noProof w:val="0"/>
        </w:rPr>
        <w:t>), employs several tools for evaluating the relationship between executive pay and performance</w:t>
      </w:r>
      <w:r w:rsidR="00A612E7" w:rsidRPr="005E6068">
        <w:rPr>
          <w:rFonts w:cs="Times New Roman PS"/>
          <w:noProof w:val="0"/>
        </w:rPr>
        <w:t>—</w:t>
      </w:r>
      <w:r w:rsidRPr="005E6068">
        <w:rPr>
          <w:rFonts w:cs="Times New Roman PS"/>
          <w:noProof w:val="0"/>
        </w:rPr>
        <w:t>three of which are based on relative performance.</w:t>
      </w:r>
      <w:r w:rsidRPr="00F155BE">
        <w:rPr>
          <w:rStyle w:val="NoterefInText"/>
        </w:rPr>
        <w:footnoteReference w:id="81"/>
      </w:r>
      <w:r w:rsidR="00DF0A04" w:rsidRPr="005E6068">
        <w:rPr>
          <w:rFonts w:cs="Times New Roman PS"/>
          <w:noProof w:val="0"/>
        </w:rPr>
        <w:t xml:space="preserve"> </w:t>
      </w:r>
      <w:r w:rsidR="00685DBB">
        <w:rPr>
          <w:rFonts w:cs="Times New Roman PS"/>
          <w:noProof w:val="0"/>
        </w:rPr>
        <w:t>For example, t</w:t>
      </w:r>
      <w:r w:rsidR="00685DBB" w:rsidRPr="005E6068">
        <w:rPr>
          <w:rFonts w:cs="Times New Roman PS"/>
          <w:noProof w:val="0"/>
        </w:rPr>
        <w:t xml:space="preserve">heir </w:t>
      </w:r>
      <w:r w:rsidR="00685DBB">
        <w:rPr>
          <w:rFonts w:cs="Times New Roman PS"/>
          <w:noProof w:val="0"/>
        </w:rPr>
        <w:t>R</w:t>
      </w:r>
      <w:r w:rsidRPr="005E6068">
        <w:rPr>
          <w:rFonts w:cs="Times New Roman PS"/>
          <w:noProof w:val="0"/>
        </w:rPr>
        <w:t xml:space="preserve">elative </w:t>
      </w:r>
      <w:r w:rsidR="00685DBB">
        <w:rPr>
          <w:rFonts w:cs="Times New Roman PS"/>
          <w:noProof w:val="0"/>
        </w:rPr>
        <w:t>D</w:t>
      </w:r>
      <w:r w:rsidRPr="005E6068">
        <w:rPr>
          <w:rFonts w:cs="Times New Roman PS"/>
          <w:noProof w:val="0"/>
        </w:rPr>
        <w:t xml:space="preserve">egree of </w:t>
      </w:r>
      <w:r w:rsidR="00685DBB">
        <w:rPr>
          <w:rFonts w:cs="Times New Roman PS"/>
          <w:noProof w:val="0"/>
        </w:rPr>
        <w:t>A</w:t>
      </w:r>
      <w:r w:rsidRPr="005E6068">
        <w:rPr>
          <w:rFonts w:cs="Times New Roman PS"/>
          <w:noProof w:val="0"/>
        </w:rPr>
        <w:t>lignment measure determines a company</w:t>
      </w:r>
      <w:r w:rsidR="009A645E">
        <w:rPr>
          <w:rFonts w:cs="Times New Roman PS"/>
          <w:noProof w:val="0"/>
        </w:rPr>
        <w:t>’</w:t>
      </w:r>
      <w:r w:rsidRPr="005E6068">
        <w:rPr>
          <w:rFonts w:cs="Times New Roman PS"/>
          <w:noProof w:val="0"/>
        </w:rPr>
        <w:t>s percentile rank over a three-year period among a group of peer firms for CEO pay and total shareholder return and then compares the two percentiles.</w:t>
      </w:r>
      <w:r w:rsidR="00314195" w:rsidRPr="00F155BE">
        <w:rPr>
          <w:rStyle w:val="NoterefInText"/>
        </w:rPr>
        <w:footnoteReference w:id="82"/>
      </w:r>
      <w:r w:rsidR="00314195" w:rsidRPr="005E6068">
        <w:rPr>
          <w:rFonts w:cs="Times New Roman PS"/>
          <w:noProof w:val="0"/>
        </w:rPr>
        <w:t xml:space="preserve"> </w:t>
      </w:r>
      <w:r w:rsidRPr="005E6068">
        <w:rPr>
          <w:rFonts w:cs="Times New Roman PS"/>
          <w:noProof w:val="0"/>
        </w:rPr>
        <w:t>Executives are overpaid by this measure when their CEO pay percentile exceeds their total shareholder return percentile.</w:t>
      </w:r>
      <w:bookmarkStart w:id="71" w:name="_Ref19110845"/>
      <w:r w:rsidRPr="00F155BE">
        <w:rPr>
          <w:rStyle w:val="NoterefInText"/>
        </w:rPr>
        <w:footnoteReference w:id="83"/>
      </w:r>
      <w:bookmarkEnd w:id="71"/>
      <w:r w:rsidR="00DF0A04" w:rsidRPr="005E6068">
        <w:rPr>
          <w:rFonts w:cs="Times New Roman PS"/>
          <w:noProof w:val="0"/>
        </w:rPr>
        <w:t xml:space="preserve"> </w:t>
      </w:r>
      <w:r w:rsidRPr="005E6068">
        <w:rPr>
          <w:rFonts w:cs="Times New Roman PS"/>
          <w:noProof w:val="0"/>
        </w:rPr>
        <w:t xml:space="preserve">According to </w:t>
      </w:r>
      <w:r w:rsidR="00051004">
        <w:rPr>
          <w:rFonts w:cs="Times New Roman PS"/>
          <w:noProof w:val="0"/>
        </w:rPr>
        <w:t xml:space="preserve">John </w:t>
      </w:r>
      <w:r w:rsidRPr="005E6068">
        <w:rPr>
          <w:rFonts w:cs="Times New Roman PS"/>
          <w:noProof w:val="0"/>
        </w:rPr>
        <w:t xml:space="preserve">Bizjak, </w:t>
      </w:r>
      <w:r w:rsidR="00051004">
        <w:rPr>
          <w:rFonts w:cs="Times New Roman PS"/>
          <w:noProof w:val="0"/>
        </w:rPr>
        <w:t xml:space="preserve">Swaminathan </w:t>
      </w:r>
      <w:r w:rsidRPr="005E6068">
        <w:rPr>
          <w:rFonts w:cs="Times New Roman PS"/>
          <w:noProof w:val="0"/>
        </w:rPr>
        <w:t xml:space="preserve">Kalpathy, </w:t>
      </w:r>
      <w:r w:rsidR="00051004">
        <w:rPr>
          <w:rFonts w:cs="Times New Roman PS"/>
          <w:noProof w:val="0"/>
        </w:rPr>
        <w:t xml:space="preserve">Zhichuan Frank </w:t>
      </w:r>
      <w:r w:rsidRPr="005E6068">
        <w:rPr>
          <w:rFonts w:cs="Times New Roman PS"/>
          <w:noProof w:val="0"/>
        </w:rPr>
        <w:t>Li</w:t>
      </w:r>
      <w:r w:rsidR="006D72AB" w:rsidRPr="005E6068">
        <w:rPr>
          <w:rFonts w:cs="Times New Roman PS"/>
          <w:noProof w:val="0"/>
        </w:rPr>
        <w:t>,</w:t>
      </w:r>
      <w:r w:rsidRPr="005E6068">
        <w:rPr>
          <w:rFonts w:cs="Times New Roman PS"/>
          <w:noProof w:val="0"/>
        </w:rPr>
        <w:t xml:space="preserve"> and </w:t>
      </w:r>
      <w:r w:rsidR="00051004">
        <w:rPr>
          <w:rFonts w:cs="Times New Roman PS"/>
          <w:noProof w:val="0"/>
        </w:rPr>
        <w:t xml:space="preserve">Brian </w:t>
      </w:r>
      <w:r w:rsidRPr="005E6068">
        <w:rPr>
          <w:rFonts w:cs="Times New Roman PS"/>
          <w:noProof w:val="0"/>
        </w:rPr>
        <w:t>Young, compensation consultants report that companies often adopt explicit RPE-based awards when ISS raises questions about the relationship between pay and company performance.</w:t>
      </w:r>
      <w:r w:rsidRPr="00F155BE">
        <w:rPr>
          <w:rStyle w:val="NoterefInText"/>
        </w:rPr>
        <w:footnoteReference w:id="84"/>
      </w:r>
    </w:p>
    <w:p w14:paraId="69E7B929" w14:textId="6524C16D" w:rsidR="00E847CF" w:rsidRPr="006D20A9" w:rsidRDefault="00E847CF" w:rsidP="001B39BE">
      <w:pPr>
        <w:pStyle w:val="SubHead2"/>
        <w:widowControl/>
        <w:rPr>
          <w:i w:val="0"/>
          <w:noProof w:val="0"/>
        </w:rPr>
      </w:pPr>
      <w:bookmarkStart w:id="72" w:name="_Toc16064711"/>
      <w:bookmarkStart w:id="73" w:name="_Toc23780669"/>
      <w:r w:rsidRPr="005E6068">
        <w:rPr>
          <w:i w:val="0"/>
          <w:noProof w:val="0"/>
        </w:rPr>
        <w:lastRenderedPageBreak/>
        <w:t>D.</w:t>
      </w:r>
      <w:r w:rsidR="00F93AF1" w:rsidRPr="005E6068">
        <w:rPr>
          <w:noProof w:val="0"/>
        </w:rPr>
        <w:tab/>
      </w:r>
      <w:r w:rsidRPr="005E6068">
        <w:rPr>
          <w:noProof w:val="0"/>
        </w:rPr>
        <w:t>Avoidance</w:t>
      </w:r>
      <w:r w:rsidR="00247A8B" w:rsidRPr="005E6068">
        <w:rPr>
          <w:noProof w:val="0"/>
        </w:rPr>
        <w:t xml:space="preserve"> of RPE </w:t>
      </w:r>
      <w:r w:rsidR="00F26206">
        <w:rPr>
          <w:noProof w:val="0"/>
        </w:rPr>
        <w:t>I</w:t>
      </w:r>
      <w:r w:rsidR="00F26206" w:rsidRPr="005E6068">
        <w:rPr>
          <w:noProof w:val="0"/>
        </w:rPr>
        <w:t xml:space="preserve">s </w:t>
      </w:r>
      <w:r w:rsidR="00F93AF1" w:rsidRPr="005E6068">
        <w:rPr>
          <w:noProof w:val="0"/>
        </w:rPr>
        <w:t xml:space="preserve">Unlikely to </w:t>
      </w:r>
      <w:r w:rsidR="00C56A66">
        <w:rPr>
          <w:noProof w:val="0"/>
        </w:rPr>
        <w:t>B</w:t>
      </w:r>
      <w:r w:rsidR="00C56A66" w:rsidRPr="005E6068">
        <w:rPr>
          <w:noProof w:val="0"/>
        </w:rPr>
        <w:t xml:space="preserve">e </w:t>
      </w:r>
      <w:r w:rsidRPr="005E6068">
        <w:rPr>
          <w:noProof w:val="0"/>
        </w:rPr>
        <w:t>a Mechanism by Which Common Owners Discourage Inter</w:t>
      </w:r>
      <w:r w:rsidR="00C776A1">
        <w:rPr>
          <w:noProof w:val="0"/>
        </w:rPr>
        <w:t>f</w:t>
      </w:r>
      <w:r w:rsidRPr="005E6068">
        <w:rPr>
          <w:noProof w:val="0"/>
        </w:rPr>
        <w:t>irm Competition</w:t>
      </w:r>
      <w:bookmarkEnd w:id="72"/>
      <w:bookmarkEnd w:id="73"/>
    </w:p>
    <w:p w14:paraId="79B74CE8" w14:textId="3CD7C1CA" w:rsidR="00E847CF" w:rsidRPr="005E6068" w:rsidRDefault="00E847CF" w:rsidP="001B39BE">
      <w:pPr>
        <w:pStyle w:val="Document"/>
        <w:rPr>
          <w:rFonts w:cs="Times New Roman PS"/>
          <w:noProof w:val="0"/>
        </w:rPr>
      </w:pPr>
      <w:r w:rsidRPr="005E6068">
        <w:rPr>
          <w:rFonts w:cs="Times New Roman PS"/>
          <w:noProof w:val="0"/>
        </w:rPr>
        <w:t>It is well understood that the ownership of U.S. equities has become increasingly concentrated in the hands of institutional investors in general and in the hands of index funds specifically.</w:t>
      </w:r>
      <w:r w:rsidRPr="00F155BE">
        <w:rPr>
          <w:rStyle w:val="NoterefInText"/>
        </w:rPr>
        <w:footnoteReference w:id="85"/>
      </w:r>
      <w:r w:rsidR="00DF0A04" w:rsidRPr="005E6068">
        <w:rPr>
          <w:rFonts w:cs="Times New Roman PS"/>
          <w:noProof w:val="0"/>
        </w:rPr>
        <w:t xml:space="preserve"> </w:t>
      </w:r>
      <w:r w:rsidRPr="005E6068">
        <w:rPr>
          <w:rFonts w:cs="Times New Roman PS"/>
          <w:noProof w:val="0"/>
        </w:rPr>
        <w:t>Given the objective of owning the market, it is not surprising that index investors have amassed large stakes in multiple companies within an industry.</w:t>
      </w:r>
      <w:r w:rsidR="00DF0A04" w:rsidRPr="005E6068">
        <w:rPr>
          <w:rFonts w:cs="Times New Roman PS"/>
          <w:noProof w:val="0"/>
        </w:rPr>
        <w:t xml:space="preserve"> </w:t>
      </w:r>
      <w:r w:rsidRPr="005E6068">
        <w:rPr>
          <w:rFonts w:cs="Times New Roman PS"/>
          <w:noProof w:val="0"/>
        </w:rPr>
        <w:t>To be sure, the significance of this common ownership and even how it is best measured is controversial,</w:t>
      </w:r>
      <w:r w:rsidRPr="00F155BE">
        <w:rPr>
          <w:rStyle w:val="NoterefInText"/>
        </w:rPr>
        <w:footnoteReference w:id="86"/>
      </w:r>
      <w:r w:rsidRPr="005E6068">
        <w:rPr>
          <w:rFonts w:cs="Times New Roman PS"/>
          <w:noProof w:val="0"/>
        </w:rPr>
        <w:t xml:space="preserve"> but by any measure</w:t>
      </w:r>
      <w:r w:rsidR="00D223BF">
        <w:rPr>
          <w:rFonts w:cs="Times New Roman PS"/>
          <w:noProof w:val="0"/>
        </w:rPr>
        <w:t>,</w:t>
      </w:r>
      <w:r w:rsidRPr="005E6068">
        <w:rPr>
          <w:rFonts w:cs="Times New Roman PS"/>
          <w:noProof w:val="0"/>
        </w:rPr>
        <w:t xml:space="preserve"> the incidence and degree of common ownership has increased significantly over the last </w:t>
      </w:r>
      <w:r w:rsidR="00AF6E7C">
        <w:rPr>
          <w:rFonts w:cs="Times New Roman PS"/>
          <w:noProof w:val="0"/>
        </w:rPr>
        <w:t>twenty-five</w:t>
      </w:r>
      <w:r w:rsidR="00AF6E7C" w:rsidRPr="005E6068">
        <w:rPr>
          <w:rFonts w:cs="Times New Roman PS"/>
          <w:noProof w:val="0"/>
        </w:rPr>
        <w:t xml:space="preserve"> </w:t>
      </w:r>
      <w:r w:rsidRPr="005E6068">
        <w:rPr>
          <w:rFonts w:cs="Times New Roman PS"/>
          <w:noProof w:val="0"/>
        </w:rPr>
        <w:t>years.</w:t>
      </w:r>
      <w:r w:rsidR="00314195" w:rsidRPr="00F155BE">
        <w:rPr>
          <w:rStyle w:val="NoterefInText"/>
        </w:rPr>
        <w:footnoteReference w:id="87"/>
      </w:r>
    </w:p>
    <w:p w14:paraId="080E5985" w14:textId="2EC84255" w:rsidR="00E847CF" w:rsidRPr="005E6068" w:rsidRDefault="00E847CF" w:rsidP="001B39BE">
      <w:pPr>
        <w:pStyle w:val="Document"/>
        <w:rPr>
          <w:rFonts w:cs="Times New Roman PS"/>
          <w:noProof w:val="0"/>
        </w:rPr>
      </w:pPr>
      <w:r w:rsidRPr="005E6068">
        <w:rPr>
          <w:rFonts w:cs="Times New Roman PS"/>
          <w:noProof w:val="0"/>
        </w:rPr>
        <w:t>Undoubtedly less well</w:t>
      </w:r>
      <w:r w:rsidR="00D223BF">
        <w:rPr>
          <w:rFonts w:cs="Times New Roman PS"/>
          <w:noProof w:val="0"/>
        </w:rPr>
        <w:t xml:space="preserve"> </w:t>
      </w:r>
      <w:r w:rsidRPr="005E6068">
        <w:rPr>
          <w:rFonts w:cs="Times New Roman PS"/>
          <w:noProof w:val="0"/>
        </w:rPr>
        <w:t>recognized is the transformation of executive pay over the same period</w:t>
      </w:r>
      <w:r w:rsidR="00242EB8" w:rsidRPr="005E6068">
        <w:rPr>
          <w:rFonts w:cs="Times New Roman PS"/>
          <w:noProof w:val="0"/>
        </w:rPr>
        <w:t>—</w:t>
      </w:r>
      <w:r w:rsidRPr="005E6068">
        <w:rPr>
          <w:rFonts w:cs="Times New Roman PS"/>
          <w:noProof w:val="0"/>
        </w:rPr>
        <w:t>chiefly the replacement of options at many companies with performance shares and the inclusion of explicit RPE metrics in many of these awards.</w:t>
      </w:r>
      <w:r w:rsidR="00314195" w:rsidRPr="00F155BE">
        <w:rPr>
          <w:rStyle w:val="NoterefInText"/>
        </w:rPr>
        <w:footnoteReference w:id="88"/>
      </w:r>
      <w:r w:rsidR="00DF0A04" w:rsidRPr="005E6068">
        <w:rPr>
          <w:rFonts w:cs="Times New Roman PS"/>
          <w:noProof w:val="0"/>
        </w:rPr>
        <w:t xml:space="preserve"> </w:t>
      </w:r>
      <w:r w:rsidRPr="005E6068">
        <w:rPr>
          <w:rFonts w:cs="Times New Roman PS"/>
          <w:noProof w:val="0"/>
        </w:rPr>
        <w:t>In an influential article, Elhauge suggests that increasing institutional</w:t>
      </w:r>
      <w:r w:rsidR="0053337A">
        <w:rPr>
          <w:rFonts w:cs="Times New Roman PS"/>
          <w:noProof w:val="0"/>
        </w:rPr>
        <w:t xml:space="preserve"> </w:t>
      </w:r>
      <w:r w:rsidRPr="005E6068">
        <w:rPr>
          <w:rFonts w:cs="Times New Roman PS"/>
          <w:noProof w:val="0"/>
        </w:rPr>
        <w:t>investor common ownership, which he calls horizontal shareholding, can help explain the shift toward compensation schemes</w:t>
      </w:r>
      <w:r w:rsidR="00FF0440">
        <w:rPr>
          <w:rFonts w:cs="Times New Roman PS"/>
          <w:noProof w:val="0"/>
        </w:rPr>
        <w:t>—</w:t>
      </w:r>
      <w:r w:rsidRPr="005E6068">
        <w:rPr>
          <w:rFonts w:cs="Times New Roman PS"/>
          <w:noProof w:val="0"/>
        </w:rPr>
        <w:t>principally stock options</w:t>
      </w:r>
      <w:r w:rsidR="00FF0440">
        <w:rPr>
          <w:rFonts w:cs="Times New Roman PS"/>
          <w:noProof w:val="0"/>
        </w:rPr>
        <w:t>—</w:t>
      </w:r>
      <w:r w:rsidRPr="005E6068">
        <w:rPr>
          <w:rFonts w:cs="Times New Roman PS"/>
          <w:noProof w:val="0"/>
        </w:rPr>
        <w:t>that reward executives for industry or market performance rather than for firm-specific performance alone.</w:t>
      </w:r>
      <w:r w:rsidRPr="00F155BE">
        <w:rPr>
          <w:rStyle w:val="NoterefInText"/>
        </w:rPr>
        <w:footnoteReference w:id="89"/>
      </w:r>
      <w:r w:rsidR="00DF0A04" w:rsidRPr="005E6068">
        <w:rPr>
          <w:rFonts w:cs="Times New Roman PS"/>
          <w:noProof w:val="0"/>
        </w:rPr>
        <w:t xml:space="preserve"> </w:t>
      </w:r>
      <w:r w:rsidRPr="005E6068">
        <w:rPr>
          <w:rFonts w:cs="Times New Roman PS"/>
          <w:noProof w:val="0"/>
        </w:rPr>
        <w:t xml:space="preserve">While this might have been an accurate description of the executive pay landscape in the year 2000, this line of argument ignores the dramatic increase in the use of explicit RPE metrics in executive pay arrangements over the last </w:t>
      </w:r>
      <w:r w:rsidR="009D6797">
        <w:rPr>
          <w:rFonts w:cs="Times New Roman PS"/>
          <w:noProof w:val="0"/>
        </w:rPr>
        <w:t>twenty</w:t>
      </w:r>
      <w:r w:rsidRPr="005E6068">
        <w:rPr>
          <w:rFonts w:cs="Times New Roman PS"/>
          <w:noProof w:val="0"/>
        </w:rPr>
        <w:t xml:space="preserve"> years, as documented above.</w:t>
      </w:r>
      <w:r w:rsidR="007C18D3" w:rsidRPr="00F155BE">
        <w:rPr>
          <w:rStyle w:val="NoterefInText"/>
        </w:rPr>
        <w:footnoteReference w:id="90"/>
      </w:r>
      <w:r w:rsidR="00DF0A04" w:rsidRPr="005E6068">
        <w:rPr>
          <w:rFonts w:cs="Times New Roman PS"/>
          <w:noProof w:val="0"/>
        </w:rPr>
        <w:t xml:space="preserve"> </w:t>
      </w:r>
      <w:r w:rsidRPr="005E6068">
        <w:rPr>
          <w:rFonts w:cs="Times New Roman PS"/>
          <w:noProof w:val="0"/>
        </w:rPr>
        <w:t>It is simply no longer true as an empirical matter.</w:t>
      </w:r>
    </w:p>
    <w:p w14:paraId="298CF2E6" w14:textId="39199796" w:rsidR="00E847CF" w:rsidRPr="005E6068" w:rsidRDefault="00E847CF" w:rsidP="001B39BE">
      <w:pPr>
        <w:pStyle w:val="Document"/>
        <w:rPr>
          <w:rFonts w:cs="Times New Roman PS"/>
          <w:noProof w:val="0"/>
        </w:rPr>
      </w:pPr>
      <w:r w:rsidRPr="005E6068">
        <w:rPr>
          <w:rFonts w:cs="Times New Roman PS"/>
          <w:noProof w:val="0"/>
        </w:rPr>
        <w:t>The upshot, however, is that the major secular trends in share ownership and executive pay design run exactly counter to the hypothesis that compensation design might serve as a mechanism linking common ownership to reduced interfirm competition.</w:t>
      </w:r>
      <w:r w:rsidR="00DF0A04" w:rsidRPr="005E6068">
        <w:rPr>
          <w:rFonts w:cs="Times New Roman PS"/>
          <w:noProof w:val="0"/>
        </w:rPr>
        <w:t xml:space="preserve"> </w:t>
      </w:r>
      <w:r w:rsidRPr="005E6068">
        <w:rPr>
          <w:rFonts w:cs="Times New Roman PS"/>
          <w:noProof w:val="0"/>
        </w:rPr>
        <w:t xml:space="preserve">As displayed in Figure 1 below, both common ownership and the use of explicit RPE have increased substantially over the last </w:t>
      </w:r>
      <w:r w:rsidR="009D6797">
        <w:rPr>
          <w:rFonts w:cs="Times New Roman PS"/>
          <w:noProof w:val="0"/>
        </w:rPr>
        <w:t>twenty to twenty-five</w:t>
      </w:r>
      <w:r w:rsidRPr="005E6068">
        <w:rPr>
          <w:rFonts w:cs="Times New Roman PS"/>
          <w:noProof w:val="0"/>
        </w:rPr>
        <w:t xml:space="preserve"> years</w:t>
      </w:r>
      <w:r w:rsidR="008666D8" w:rsidRPr="005E6068">
        <w:rPr>
          <w:rFonts w:cs="Times New Roman PS"/>
          <w:noProof w:val="0"/>
        </w:rPr>
        <w:t>—</w:t>
      </w:r>
      <w:r w:rsidRPr="005E6068">
        <w:rPr>
          <w:rFonts w:cs="Times New Roman PS"/>
          <w:noProof w:val="0"/>
        </w:rPr>
        <w:t>exactly opposite of what one would expect if common owners were using compensation design to discourage (or not encourage) competition.</w:t>
      </w:r>
      <w:r w:rsidR="00DF0A04" w:rsidRPr="005E6068">
        <w:rPr>
          <w:rFonts w:cs="Times New Roman PS"/>
          <w:noProof w:val="0"/>
        </w:rPr>
        <w:t xml:space="preserve"> </w:t>
      </w:r>
    </w:p>
    <w:p w14:paraId="1F4F2225" w14:textId="68BA6851" w:rsidR="00CD2A22" w:rsidRDefault="00CD2A22" w:rsidP="001B39BE">
      <w:pPr>
        <w:pStyle w:val="Document"/>
        <w:rPr>
          <w:rFonts w:cs="Times New Roman PS"/>
          <w:noProof w:val="0"/>
        </w:rPr>
      </w:pPr>
    </w:p>
    <w:p w14:paraId="5240EB8D" w14:textId="5F0FFD6A" w:rsidR="00AE3392" w:rsidRDefault="00AE3392" w:rsidP="001B39BE">
      <w:pPr>
        <w:pStyle w:val="Document"/>
        <w:rPr>
          <w:rFonts w:cs="Times New Roman PS"/>
          <w:noProof w:val="0"/>
        </w:rPr>
      </w:pPr>
    </w:p>
    <w:p w14:paraId="0379BFBA" w14:textId="7405DFB5" w:rsidR="0040386A" w:rsidRDefault="0040386A" w:rsidP="001B39BE">
      <w:pPr>
        <w:pStyle w:val="Document"/>
        <w:rPr>
          <w:rFonts w:cs="Times New Roman PS"/>
          <w:noProof w:val="0"/>
        </w:rPr>
      </w:pPr>
    </w:p>
    <w:p w14:paraId="20642608" w14:textId="2D711A74" w:rsidR="0040386A" w:rsidRDefault="0040386A" w:rsidP="001B39BE">
      <w:pPr>
        <w:pStyle w:val="Document"/>
        <w:rPr>
          <w:rFonts w:cs="Times New Roman PS"/>
          <w:noProof w:val="0"/>
        </w:rPr>
      </w:pPr>
    </w:p>
    <w:p w14:paraId="67109B9F" w14:textId="1F301BD5" w:rsidR="0040386A" w:rsidRDefault="0040386A" w:rsidP="001B39BE">
      <w:pPr>
        <w:pStyle w:val="Document"/>
        <w:rPr>
          <w:rFonts w:cs="Times New Roman PS"/>
          <w:noProof w:val="0"/>
        </w:rPr>
      </w:pPr>
    </w:p>
    <w:p w14:paraId="13A886E2" w14:textId="4EE1421D" w:rsidR="0040386A" w:rsidRDefault="0040386A" w:rsidP="001B39BE">
      <w:pPr>
        <w:pStyle w:val="Document"/>
        <w:rPr>
          <w:rFonts w:cs="Times New Roman PS"/>
          <w:noProof w:val="0"/>
        </w:rPr>
      </w:pPr>
    </w:p>
    <w:p w14:paraId="32B23C69" w14:textId="492867C1" w:rsidR="0040386A" w:rsidRDefault="0040386A" w:rsidP="001B39BE">
      <w:pPr>
        <w:pStyle w:val="Document"/>
        <w:rPr>
          <w:rFonts w:cs="Times New Roman PS"/>
          <w:noProof w:val="0"/>
        </w:rPr>
      </w:pPr>
    </w:p>
    <w:p w14:paraId="39DDAEF2" w14:textId="18733A69" w:rsidR="00E847CF" w:rsidRPr="00AE3392" w:rsidRDefault="00E847CF" w:rsidP="001B39BE">
      <w:pPr>
        <w:pStyle w:val="Document"/>
        <w:rPr>
          <w:bCs/>
        </w:rPr>
      </w:pPr>
      <w:r w:rsidRPr="003B3475">
        <w:rPr>
          <w:b/>
          <w:bCs/>
        </w:rPr>
        <w:lastRenderedPageBreak/>
        <w:t>Figure 1</w:t>
      </w:r>
      <w:r w:rsidR="00900964" w:rsidRPr="003B3475">
        <w:rPr>
          <w:b/>
          <w:bCs/>
        </w:rPr>
        <w:t>.</w:t>
      </w:r>
      <w:r w:rsidR="00AE3392">
        <w:rPr>
          <w:b/>
          <w:bCs/>
        </w:rPr>
        <w:t xml:space="preserve"> </w:t>
      </w:r>
      <w:r w:rsidR="00AE3392">
        <w:rPr>
          <w:bCs/>
        </w:rPr>
        <w:t>Increases in Company Common Ownership and Use of Explicit RPE.</w:t>
      </w:r>
      <w:r w:rsidR="009225C9" w:rsidRPr="00F155BE">
        <w:rPr>
          <w:rStyle w:val="NoterefInText"/>
        </w:rPr>
        <w:footnoteReference w:id="91"/>
      </w:r>
    </w:p>
    <w:p w14:paraId="088D5B06" w14:textId="77777777" w:rsidR="00CD2A22" w:rsidRPr="005E6068" w:rsidRDefault="00CD2A22" w:rsidP="001B39BE">
      <w:pPr>
        <w:pStyle w:val="Document"/>
        <w:rPr>
          <w:rFonts w:cs="Times New Roman PS"/>
          <w:noProof w:val="0"/>
        </w:rPr>
      </w:pPr>
    </w:p>
    <w:p w14:paraId="31E9B83E" w14:textId="77777777" w:rsidR="00CD2A22" w:rsidRPr="005E6068" w:rsidRDefault="00CD2A22" w:rsidP="001B39BE">
      <w:pPr>
        <w:pStyle w:val="Document"/>
        <w:spacing w:line="360" w:lineRule="auto"/>
        <w:rPr>
          <w:rFonts w:cs="Times New Roman PS"/>
          <w:noProof w:val="0"/>
        </w:rPr>
      </w:pPr>
      <w:r w:rsidRPr="005E6068">
        <w:drawing>
          <wp:anchor distT="0" distB="0" distL="114300" distR="114300" simplePos="0" relativeHeight="251658240" behindDoc="1" locked="0" layoutInCell="1" allowOverlap="1" wp14:anchorId="708AABC9" wp14:editId="12ED3E3A">
            <wp:simplePos x="1905000" y="2133600"/>
            <wp:positionH relativeFrom="page">
              <wp:align>center</wp:align>
            </wp:positionH>
            <wp:positionV relativeFrom="paragraph">
              <wp:posOffset>0</wp:posOffset>
            </wp:positionV>
            <wp:extent cx="4242816" cy="2889504"/>
            <wp:effectExtent l="0" t="0" r="5715" b="6350"/>
            <wp:wrapTight wrapText="bothSides">
              <wp:wrapPolygon edited="0">
                <wp:start x="0" y="0"/>
                <wp:lineTo x="0" y="21505"/>
                <wp:lineTo x="21532" y="2150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2816" cy="2889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DEBCD" w14:textId="71A508CB" w:rsidR="00E847CF" w:rsidRPr="005E6068" w:rsidRDefault="00E847CF" w:rsidP="001B39BE">
      <w:pPr>
        <w:pStyle w:val="Document"/>
        <w:rPr>
          <w:rFonts w:cs="Times New Roman PS"/>
          <w:noProof w:val="0"/>
        </w:rPr>
      </w:pPr>
      <w:r w:rsidRPr="005E6068">
        <w:rPr>
          <w:rFonts w:cs="Times New Roman PS"/>
          <w:noProof w:val="0"/>
        </w:rPr>
        <w:t xml:space="preserve">This macro-level evidence is also inconsistent with the hypothesized passive or </w:t>
      </w:r>
      <w:r w:rsidR="009A645E">
        <w:rPr>
          <w:rFonts w:cs="Times New Roman PS"/>
          <w:noProof w:val="0"/>
        </w:rPr>
        <w:t>“</w:t>
      </w:r>
      <w:r w:rsidRPr="005E6068">
        <w:rPr>
          <w:rFonts w:cs="Times New Roman PS"/>
          <w:noProof w:val="0"/>
        </w:rPr>
        <w:t>do nothing</w:t>
      </w:r>
      <w:r w:rsidR="009A645E">
        <w:rPr>
          <w:rFonts w:cs="Times New Roman PS"/>
          <w:noProof w:val="0"/>
        </w:rPr>
        <w:t>”</w:t>
      </w:r>
      <w:r w:rsidRPr="005E6068">
        <w:rPr>
          <w:rFonts w:cs="Times New Roman PS"/>
          <w:noProof w:val="0"/>
        </w:rPr>
        <w:t xml:space="preserve"> mechanism</w:t>
      </w:r>
      <w:r w:rsidR="000F3D89" w:rsidRPr="005E6068">
        <w:rPr>
          <w:rFonts w:cs="Times New Roman PS"/>
          <w:noProof w:val="0"/>
        </w:rPr>
        <w:t xml:space="preserve"> proposed by Azar, Schmalz, and Tecu</w:t>
      </w:r>
      <w:r w:rsidRPr="005E6068">
        <w:rPr>
          <w:rFonts w:cs="Times New Roman PS"/>
          <w:noProof w:val="0"/>
        </w:rPr>
        <w:t>.</w:t>
      </w:r>
      <w:r w:rsidR="00B14089" w:rsidRPr="00F155BE">
        <w:rPr>
          <w:rStyle w:val="NoterefInText"/>
        </w:rPr>
        <w:footnoteReference w:id="92"/>
      </w:r>
      <w:r w:rsidR="00DF0A04" w:rsidRPr="005E6068">
        <w:rPr>
          <w:rFonts w:cs="Times New Roman PS"/>
          <w:noProof w:val="0"/>
        </w:rPr>
        <w:t xml:space="preserve"> </w:t>
      </w:r>
      <w:r w:rsidRPr="005E6068">
        <w:rPr>
          <w:rFonts w:cs="Times New Roman PS"/>
          <w:noProof w:val="0"/>
        </w:rPr>
        <w:t>Recall that the idea here is that</w:t>
      </w:r>
      <w:r w:rsidR="00685DBB">
        <w:rPr>
          <w:rFonts w:cs="Times New Roman PS"/>
          <w:noProof w:val="0"/>
        </w:rPr>
        <w:t>,</w:t>
      </w:r>
      <w:r w:rsidRPr="005E6068">
        <w:rPr>
          <w:rFonts w:cs="Times New Roman PS"/>
          <w:noProof w:val="0"/>
        </w:rPr>
        <w:t xml:space="preserve"> unlike an undiversified owner who might actively encourage competition, a common owner might simply refrain from active encouragement, in which case executives will tend to avoid taking personally costly actions to compete and simply enjoy the quiet life.</w:t>
      </w:r>
      <w:r w:rsidR="00B14089" w:rsidRPr="00F155BE">
        <w:rPr>
          <w:rStyle w:val="NoterefInText"/>
        </w:rPr>
        <w:footnoteReference w:id="93"/>
      </w:r>
      <w:r w:rsidR="00DF0A04" w:rsidRPr="005E6068">
        <w:rPr>
          <w:rFonts w:cs="Times New Roman PS"/>
          <w:noProof w:val="0"/>
        </w:rPr>
        <w:t xml:space="preserve"> </w:t>
      </w:r>
      <w:r w:rsidRPr="005E6068">
        <w:rPr>
          <w:rFonts w:cs="Times New Roman PS"/>
          <w:noProof w:val="0"/>
        </w:rPr>
        <w:t>But adopting RPE-based compensation instruments is the opposite of doing nothing.</w:t>
      </w:r>
      <w:r w:rsidR="00DF0A04" w:rsidRPr="005E6068">
        <w:rPr>
          <w:rFonts w:cs="Times New Roman PS"/>
          <w:noProof w:val="0"/>
        </w:rPr>
        <w:t xml:space="preserve"> </w:t>
      </w:r>
      <w:r w:rsidRPr="005E6068">
        <w:rPr>
          <w:rFonts w:cs="Times New Roman PS"/>
          <w:noProof w:val="0"/>
        </w:rPr>
        <w:t>Given the potential to boost pay by outcompeting peer firms, it would be costly for RPE-compensated executives to refrain from competition.</w:t>
      </w:r>
    </w:p>
    <w:p w14:paraId="3E5C0A0A" w14:textId="1A7961E0" w:rsidR="00E847CF" w:rsidRPr="005E6068" w:rsidRDefault="00E847CF" w:rsidP="001B39BE">
      <w:pPr>
        <w:pStyle w:val="Document"/>
        <w:rPr>
          <w:rFonts w:cs="Times New Roman PS"/>
          <w:noProof w:val="0"/>
        </w:rPr>
      </w:pPr>
      <w:r w:rsidRPr="005E6068">
        <w:rPr>
          <w:rFonts w:cs="Times New Roman PS"/>
          <w:noProof w:val="0"/>
        </w:rPr>
        <w:t>Of course, this macro-level evidence is</w:t>
      </w:r>
      <w:r w:rsidR="00380CFD">
        <w:rPr>
          <w:rFonts w:cs="Times New Roman PS"/>
          <w:noProof w:val="0"/>
        </w:rPr>
        <w:t xml:space="preserve"> </w:t>
      </w:r>
      <w:r w:rsidRPr="005E6068">
        <w:rPr>
          <w:rFonts w:cs="Times New Roman PS"/>
          <w:noProof w:val="0"/>
        </w:rPr>
        <w:t>n</w:t>
      </w:r>
      <w:r w:rsidR="00380CFD">
        <w:rPr>
          <w:rFonts w:cs="Times New Roman PS"/>
          <w:noProof w:val="0"/>
        </w:rPr>
        <w:t>o</w:t>
      </w:r>
      <w:r w:rsidRPr="005E6068">
        <w:rPr>
          <w:rFonts w:cs="Times New Roman PS"/>
          <w:noProof w:val="0"/>
        </w:rPr>
        <w:t>t conclusive.</w:t>
      </w:r>
      <w:r w:rsidR="00DF0A04" w:rsidRPr="005E6068">
        <w:rPr>
          <w:rFonts w:cs="Times New Roman PS"/>
          <w:noProof w:val="0"/>
        </w:rPr>
        <w:t xml:space="preserve"> </w:t>
      </w:r>
      <w:r w:rsidRPr="005E6068">
        <w:rPr>
          <w:rFonts w:cs="Times New Roman PS"/>
          <w:noProof w:val="0"/>
        </w:rPr>
        <w:t xml:space="preserve">It is possible that while the use of RPE is increasing generally among U.S. companies, companies in </w:t>
      </w:r>
      <w:r w:rsidRPr="005E6068">
        <w:rPr>
          <w:rFonts w:cs="Times New Roman PS"/>
          <w:noProof w:val="0"/>
        </w:rPr>
        <w:lastRenderedPageBreak/>
        <w:t>industries with high levels of common ownership avoid the use of RPE</w:t>
      </w:r>
      <w:r w:rsidR="00051004">
        <w:rPr>
          <w:rFonts w:cs="Times New Roman PS"/>
          <w:noProof w:val="0"/>
        </w:rPr>
        <w:t xml:space="preserve"> or design RPE</w:t>
      </w:r>
      <w:r w:rsidRPr="005E6068">
        <w:rPr>
          <w:rFonts w:cs="Times New Roman PS"/>
          <w:noProof w:val="0"/>
        </w:rPr>
        <w:t xml:space="preserve"> in such a way as to minimize incentives to compete.</w:t>
      </w:r>
      <w:r w:rsidR="00DF0A04" w:rsidRPr="005E6068">
        <w:rPr>
          <w:rFonts w:cs="Times New Roman PS"/>
          <w:noProof w:val="0"/>
        </w:rPr>
        <w:t xml:space="preserve"> </w:t>
      </w:r>
      <w:r w:rsidRPr="005E6068">
        <w:rPr>
          <w:rFonts w:cs="Times New Roman PS"/>
          <w:noProof w:val="0"/>
        </w:rPr>
        <w:t xml:space="preserve">But, as discussed </w:t>
      </w:r>
      <w:r w:rsidR="00EF0705" w:rsidRPr="005E6068">
        <w:rPr>
          <w:rFonts w:cs="Times New Roman PS"/>
          <w:noProof w:val="0"/>
        </w:rPr>
        <w:t>in the following paragraphs</w:t>
      </w:r>
      <w:r w:rsidRPr="005E6068">
        <w:rPr>
          <w:rFonts w:cs="Times New Roman PS"/>
          <w:noProof w:val="0"/>
        </w:rPr>
        <w:t>, the evidence does</w:t>
      </w:r>
      <w:r w:rsidR="00380CFD">
        <w:rPr>
          <w:rFonts w:cs="Times New Roman PS"/>
          <w:noProof w:val="0"/>
        </w:rPr>
        <w:t xml:space="preserve"> </w:t>
      </w:r>
      <w:r w:rsidRPr="005E6068">
        <w:rPr>
          <w:rFonts w:cs="Times New Roman PS"/>
          <w:noProof w:val="0"/>
        </w:rPr>
        <w:t>n</w:t>
      </w:r>
      <w:r w:rsidR="00380CFD">
        <w:rPr>
          <w:rFonts w:cs="Times New Roman PS"/>
          <w:noProof w:val="0"/>
        </w:rPr>
        <w:t>o</w:t>
      </w:r>
      <w:r w:rsidRPr="005E6068">
        <w:rPr>
          <w:rFonts w:cs="Times New Roman PS"/>
          <w:noProof w:val="0"/>
        </w:rPr>
        <w:t>t support these ideas either.</w:t>
      </w:r>
    </w:p>
    <w:p w14:paraId="6BF9F121" w14:textId="0B285E70" w:rsidR="00E847CF" w:rsidRPr="005E6068" w:rsidRDefault="00E847CF" w:rsidP="001B39BE">
      <w:pPr>
        <w:pStyle w:val="Document"/>
        <w:rPr>
          <w:rFonts w:cs="Times New Roman PS"/>
          <w:noProof w:val="0"/>
        </w:rPr>
      </w:pPr>
      <w:r w:rsidRPr="005E6068">
        <w:rPr>
          <w:rFonts w:cs="Times New Roman PS"/>
          <w:noProof w:val="0"/>
        </w:rPr>
        <w:t>Let us begin with the latter idea</w:t>
      </w:r>
      <w:r w:rsidR="00380CFD">
        <w:rPr>
          <w:rFonts w:cs="Times New Roman PS"/>
          <w:noProof w:val="0"/>
        </w:rPr>
        <w:t>—</w:t>
      </w:r>
      <w:r w:rsidRPr="005E6068">
        <w:rPr>
          <w:rFonts w:cs="Times New Roman PS"/>
          <w:noProof w:val="0"/>
        </w:rPr>
        <w:t>that RPE might be designed in such a way as to create an appearance of performance measurement vis-à-vis peers</w:t>
      </w:r>
      <w:r w:rsidR="00B82419">
        <w:rPr>
          <w:rFonts w:cs="Times New Roman PS"/>
          <w:noProof w:val="0"/>
        </w:rPr>
        <w:t xml:space="preserve"> </w:t>
      </w:r>
      <w:r w:rsidR="00051004">
        <w:rPr>
          <w:rFonts w:cs="Times New Roman PS"/>
          <w:noProof w:val="0"/>
        </w:rPr>
        <w:t>(</w:t>
      </w:r>
      <w:r w:rsidRPr="005E6068">
        <w:rPr>
          <w:rFonts w:cs="Times New Roman PS"/>
          <w:noProof w:val="0"/>
        </w:rPr>
        <w:t>that might satisfy the proxy adviso</w:t>
      </w:r>
      <w:r w:rsidR="00B82419">
        <w:rPr>
          <w:rFonts w:cs="Times New Roman PS"/>
          <w:noProof w:val="0"/>
        </w:rPr>
        <w:t>ry firms and other stakeholders</w:t>
      </w:r>
      <w:r w:rsidR="00051004">
        <w:rPr>
          <w:rFonts w:cs="Times New Roman PS"/>
          <w:noProof w:val="0"/>
        </w:rPr>
        <w:t>)</w:t>
      </w:r>
      <w:r w:rsidRPr="005E6068">
        <w:rPr>
          <w:rFonts w:cs="Times New Roman PS"/>
          <w:noProof w:val="0"/>
        </w:rPr>
        <w:t xml:space="preserve"> but </w:t>
      </w:r>
      <w:r w:rsidR="00B02DDE">
        <w:rPr>
          <w:rFonts w:cs="Times New Roman PS"/>
          <w:noProof w:val="0"/>
        </w:rPr>
        <w:t xml:space="preserve">to </w:t>
      </w:r>
      <w:r w:rsidRPr="005E6068">
        <w:rPr>
          <w:rFonts w:cs="Times New Roman PS"/>
          <w:noProof w:val="0"/>
        </w:rPr>
        <w:t>actually avoid fostering intense competition.</w:t>
      </w:r>
      <w:r w:rsidRPr="00F155BE">
        <w:rPr>
          <w:rStyle w:val="NoterefInText"/>
        </w:rPr>
        <w:footnoteReference w:id="94"/>
      </w:r>
      <w:r w:rsidR="00DF0A04" w:rsidRPr="005E6068">
        <w:rPr>
          <w:rFonts w:cs="Times New Roman PS"/>
          <w:noProof w:val="0"/>
        </w:rPr>
        <w:t xml:space="preserve"> </w:t>
      </w:r>
      <w:r w:rsidRPr="005E6068">
        <w:rPr>
          <w:rFonts w:cs="Times New Roman PS"/>
          <w:noProof w:val="0"/>
        </w:rPr>
        <w:t>As noted above, choice of peer group is a key RPE design issue.</w:t>
      </w:r>
      <w:r w:rsidR="00B14089" w:rsidRPr="00F155BE">
        <w:rPr>
          <w:rStyle w:val="NoterefInText"/>
        </w:rPr>
        <w:footnoteReference w:id="95"/>
      </w:r>
      <w:r w:rsidR="00DF0A04" w:rsidRPr="005E6068">
        <w:rPr>
          <w:rFonts w:cs="Times New Roman PS"/>
          <w:noProof w:val="0"/>
        </w:rPr>
        <w:t xml:space="preserve"> </w:t>
      </w:r>
      <w:r w:rsidRPr="005E6068">
        <w:rPr>
          <w:rFonts w:cs="Times New Roman PS"/>
          <w:noProof w:val="0"/>
        </w:rPr>
        <w:t>RPE may be based on a select group of peer companies, on a preexisting industry-specific index, or on a broad market index.</w:t>
      </w:r>
      <w:r w:rsidRPr="00F155BE">
        <w:rPr>
          <w:rStyle w:val="NoterefInText"/>
        </w:rPr>
        <w:footnoteReference w:id="96"/>
      </w:r>
      <w:r w:rsidR="00DF0A04" w:rsidRPr="005E6068">
        <w:rPr>
          <w:rFonts w:cs="Times New Roman PS"/>
          <w:noProof w:val="0"/>
        </w:rPr>
        <w:t xml:space="preserve"> </w:t>
      </w:r>
      <w:r w:rsidRPr="005E6068">
        <w:rPr>
          <w:rFonts w:cs="Times New Roman PS"/>
          <w:noProof w:val="0"/>
        </w:rPr>
        <w:t>While the use of a select peer group</w:t>
      </w:r>
      <w:r w:rsidR="00B14089" w:rsidRPr="005E6068">
        <w:rPr>
          <w:rFonts w:cs="Times New Roman PS"/>
          <w:noProof w:val="0"/>
        </w:rPr>
        <w:t xml:space="preserve"> </w:t>
      </w:r>
      <w:r w:rsidRPr="005E6068">
        <w:rPr>
          <w:rFonts w:cs="Times New Roman PS"/>
          <w:noProof w:val="0"/>
        </w:rPr>
        <w:t>benchmark creates incentives to undermine peer performance, this is not the case for RPE based on a broad market index.</w:t>
      </w:r>
      <w:r w:rsidR="00DF0A04" w:rsidRPr="005E6068">
        <w:rPr>
          <w:rFonts w:cs="Times New Roman PS"/>
          <w:noProof w:val="0"/>
        </w:rPr>
        <w:t xml:space="preserve"> </w:t>
      </w:r>
      <w:r w:rsidRPr="005E6068">
        <w:rPr>
          <w:rFonts w:cs="Times New Roman PS"/>
          <w:noProof w:val="0"/>
        </w:rPr>
        <w:t>As discussed above, undermining the performance of one</w:t>
      </w:r>
      <w:r w:rsidR="009A645E">
        <w:rPr>
          <w:rFonts w:cs="Times New Roman PS"/>
          <w:noProof w:val="0"/>
        </w:rPr>
        <w:t>’</w:t>
      </w:r>
      <w:r w:rsidRPr="005E6068">
        <w:rPr>
          <w:rFonts w:cs="Times New Roman PS"/>
          <w:noProof w:val="0"/>
        </w:rPr>
        <w:t>s direct competitors</w:t>
      </w:r>
      <w:r w:rsidR="00C776BE" w:rsidRPr="005E6068">
        <w:rPr>
          <w:rFonts w:cs="Times New Roman PS"/>
          <w:noProof w:val="0"/>
        </w:rPr>
        <w:t xml:space="preserve">—by </w:t>
      </w:r>
      <w:r w:rsidRPr="005E6068">
        <w:rPr>
          <w:rFonts w:cs="Times New Roman PS"/>
          <w:noProof w:val="0"/>
        </w:rPr>
        <w:t xml:space="preserve">taking market share or </w:t>
      </w:r>
      <w:r w:rsidR="00C776BE" w:rsidRPr="005E6068">
        <w:rPr>
          <w:rFonts w:cs="Times New Roman PS"/>
          <w:noProof w:val="0"/>
        </w:rPr>
        <w:t xml:space="preserve">through </w:t>
      </w:r>
      <w:r w:rsidRPr="005E6068">
        <w:rPr>
          <w:rFonts w:cs="Times New Roman PS"/>
          <w:noProof w:val="0"/>
        </w:rPr>
        <w:t>other means</w:t>
      </w:r>
      <w:r w:rsidR="00C776BE" w:rsidRPr="005E6068">
        <w:rPr>
          <w:rFonts w:cs="Times New Roman PS"/>
          <w:noProof w:val="0"/>
        </w:rPr>
        <w:t>—</w:t>
      </w:r>
      <w:r w:rsidRPr="005E6068">
        <w:rPr>
          <w:rFonts w:cs="Times New Roman PS"/>
          <w:noProof w:val="0"/>
        </w:rPr>
        <w:t xml:space="preserve">would have an insignificant effect on relative company performance if company performance is gauged relative to the S&amp;P 500 or </w:t>
      </w:r>
      <w:r w:rsidR="00636502" w:rsidRPr="005E6068">
        <w:rPr>
          <w:rFonts w:cs="Times New Roman PS"/>
          <w:noProof w:val="0"/>
        </w:rPr>
        <w:t xml:space="preserve">the </w:t>
      </w:r>
      <w:r w:rsidRPr="005E6068">
        <w:rPr>
          <w:rFonts w:cs="Times New Roman PS"/>
          <w:noProof w:val="0"/>
        </w:rPr>
        <w:t>Russell 3000 index.</w:t>
      </w:r>
      <w:r w:rsidRPr="00F155BE">
        <w:rPr>
          <w:rStyle w:val="NoterefInText"/>
        </w:rPr>
        <w:footnoteReference w:id="97"/>
      </w:r>
      <w:r w:rsidR="00DF0A04" w:rsidRPr="005E6068">
        <w:rPr>
          <w:rFonts w:cs="Times New Roman PS"/>
          <w:noProof w:val="0"/>
        </w:rPr>
        <w:t xml:space="preserve"> </w:t>
      </w:r>
      <w:r w:rsidRPr="005E6068">
        <w:rPr>
          <w:rFonts w:cs="Times New Roman PS"/>
          <w:noProof w:val="0"/>
        </w:rPr>
        <w:t xml:space="preserve">The impact of benchmarking against an industry-specific index </w:t>
      </w:r>
      <w:r w:rsidR="00A966C0" w:rsidRPr="005E6068">
        <w:rPr>
          <w:rFonts w:cs="Times New Roman PS"/>
          <w:noProof w:val="0"/>
        </w:rPr>
        <w:t xml:space="preserve">would be </w:t>
      </w:r>
      <w:r w:rsidRPr="005E6068">
        <w:rPr>
          <w:rFonts w:cs="Times New Roman PS"/>
          <w:noProof w:val="0"/>
        </w:rPr>
        <w:t>somewhere in between, likely depending on the number of companies in the index.</w:t>
      </w:r>
      <w:r w:rsidR="00DF0A04" w:rsidRPr="005E6068">
        <w:rPr>
          <w:rFonts w:cs="Times New Roman PS"/>
          <w:noProof w:val="0"/>
        </w:rPr>
        <w:t xml:space="preserve"> </w:t>
      </w:r>
    </w:p>
    <w:p w14:paraId="6EA47479" w14:textId="466C78CE" w:rsidR="00E847CF" w:rsidRPr="005E6068" w:rsidRDefault="00051004" w:rsidP="001B39BE">
      <w:pPr>
        <w:pStyle w:val="Document"/>
        <w:rPr>
          <w:rFonts w:cs="Times New Roman PS"/>
          <w:noProof w:val="0"/>
        </w:rPr>
      </w:pPr>
      <w:r>
        <w:rPr>
          <w:rFonts w:cs="Times New Roman PS"/>
          <w:noProof w:val="0"/>
        </w:rPr>
        <w:t>So o</w:t>
      </w:r>
      <w:r w:rsidR="00E847CF" w:rsidRPr="005E6068">
        <w:rPr>
          <w:rFonts w:cs="Times New Roman PS"/>
          <w:noProof w:val="0"/>
        </w:rPr>
        <w:t xml:space="preserve">ne way of incorporating RPE without encouraging intense competition would be through selection of a broad market index as the </w:t>
      </w:r>
      <w:r w:rsidR="009A645E">
        <w:rPr>
          <w:rFonts w:cs="Times New Roman PS"/>
          <w:noProof w:val="0"/>
        </w:rPr>
        <w:t>“</w:t>
      </w:r>
      <w:r w:rsidR="00E847CF" w:rsidRPr="005E6068">
        <w:rPr>
          <w:rFonts w:cs="Times New Roman PS"/>
          <w:noProof w:val="0"/>
        </w:rPr>
        <w:t>peer</w:t>
      </w:r>
      <w:r w:rsidR="009A645E">
        <w:rPr>
          <w:rFonts w:cs="Times New Roman PS"/>
          <w:noProof w:val="0"/>
        </w:rPr>
        <w:t>”</w:t>
      </w:r>
      <w:r w:rsidR="00E847CF" w:rsidRPr="005E6068">
        <w:rPr>
          <w:rFonts w:cs="Times New Roman PS"/>
          <w:noProof w:val="0"/>
        </w:rPr>
        <w:t xml:space="preserve"> group</w:t>
      </w:r>
      <w:r w:rsidR="00B14089" w:rsidRPr="005E6068">
        <w:rPr>
          <w:rFonts w:cs="Times New Roman PS"/>
          <w:noProof w:val="0"/>
        </w:rPr>
        <w:t>.</w:t>
      </w:r>
      <w:r w:rsidR="00E847CF" w:rsidRPr="005E6068">
        <w:rPr>
          <w:rFonts w:cs="Times New Roman PS"/>
          <w:noProof w:val="0"/>
        </w:rPr>
        <w:t xml:space="preserve"> </w:t>
      </w:r>
      <w:r w:rsidR="00DA75A1" w:rsidRPr="005E6068">
        <w:rPr>
          <w:rFonts w:cs="Times New Roman PS"/>
          <w:noProof w:val="0"/>
        </w:rPr>
        <w:t>T</w:t>
      </w:r>
      <w:r w:rsidR="00B02DDE">
        <w:rPr>
          <w:rFonts w:cs="Times New Roman PS"/>
          <w:noProof w:val="0"/>
        </w:rPr>
        <w:t>hus, t</w:t>
      </w:r>
      <w:r w:rsidR="00E847CF" w:rsidRPr="005E6068">
        <w:rPr>
          <w:rFonts w:cs="Times New Roman PS"/>
          <w:noProof w:val="0"/>
        </w:rPr>
        <w:t>o the extent that commonly owned companies utilize explicit RPE, the compensation</w:t>
      </w:r>
      <w:r w:rsidR="006B7FFC">
        <w:rPr>
          <w:rFonts w:cs="Times New Roman PS"/>
          <w:noProof w:val="0"/>
        </w:rPr>
        <w:t>-</w:t>
      </w:r>
      <w:r w:rsidR="00E847CF" w:rsidRPr="005E6068">
        <w:rPr>
          <w:rFonts w:cs="Times New Roman PS"/>
          <w:noProof w:val="0"/>
        </w:rPr>
        <w:t>mechanism hypothesis would predict that these companies would adopt broad market indices as benchmarks.</w:t>
      </w:r>
      <w:r w:rsidR="00DF0A04" w:rsidRPr="005E6068">
        <w:rPr>
          <w:rFonts w:cs="Times New Roman PS"/>
          <w:noProof w:val="0"/>
        </w:rPr>
        <w:t xml:space="preserve"> </w:t>
      </w:r>
      <w:r w:rsidR="00E847CF" w:rsidRPr="005E6068">
        <w:rPr>
          <w:rFonts w:cs="Times New Roman PS"/>
          <w:noProof w:val="0"/>
        </w:rPr>
        <w:t xml:space="preserve">However, while all three approaches are observed in practice, the most common approach is to employ a select group of peer firms, typically </w:t>
      </w:r>
      <w:r w:rsidR="00FE35FE" w:rsidRPr="005E6068">
        <w:rPr>
          <w:rFonts w:cs="Times New Roman PS"/>
          <w:noProof w:val="0"/>
        </w:rPr>
        <w:t xml:space="preserve">ten </w:t>
      </w:r>
      <w:r w:rsidR="00E847CF" w:rsidRPr="005E6068">
        <w:rPr>
          <w:rFonts w:cs="Times New Roman PS"/>
          <w:noProof w:val="0"/>
        </w:rPr>
        <w:t xml:space="preserve">to </w:t>
      </w:r>
      <w:r w:rsidR="00FE35FE" w:rsidRPr="005E6068">
        <w:rPr>
          <w:rFonts w:cs="Times New Roman PS"/>
          <w:noProof w:val="0"/>
        </w:rPr>
        <w:t xml:space="preserve">twenty </w:t>
      </w:r>
      <w:r w:rsidR="00E847CF" w:rsidRPr="005E6068">
        <w:rPr>
          <w:rFonts w:cs="Times New Roman PS"/>
          <w:noProof w:val="0"/>
        </w:rPr>
        <w:t>companies.</w:t>
      </w:r>
      <w:r w:rsidR="00E847CF" w:rsidRPr="00F155BE">
        <w:rPr>
          <w:rStyle w:val="NoterefInText"/>
        </w:rPr>
        <w:footnoteReference w:id="98"/>
      </w:r>
      <w:r w:rsidR="00DF0A04" w:rsidRPr="005E6068">
        <w:rPr>
          <w:rFonts w:cs="Times New Roman PS"/>
          <w:noProof w:val="0"/>
        </w:rPr>
        <w:t xml:space="preserve"> </w:t>
      </w:r>
      <w:r w:rsidR="00E847CF" w:rsidRPr="005E6068">
        <w:rPr>
          <w:rFonts w:cs="Times New Roman PS"/>
          <w:noProof w:val="0"/>
        </w:rPr>
        <w:t>Bizjak, Kalpathy, Li</w:t>
      </w:r>
      <w:r w:rsidR="007A0E44" w:rsidRPr="005E6068">
        <w:rPr>
          <w:rFonts w:cs="Times New Roman PS"/>
          <w:noProof w:val="0"/>
        </w:rPr>
        <w:t>,</w:t>
      </w:r>
      <w:r w:rsidR="00E847CF" w:rsidRPr="005E6068">
        <w:rPr>
          <w:rFonts w:cs="Times New Roman PS"/>
          <w:noProof w:val="0"/>
        </w:rPr>
        <w:t xml:space="preserve"> and Young find that of the 47% of ISS Incentive Lab companies that issued RPE-based awards in 2015, 60% employed a select group of peer firms, while 22% employed a broad market index.</w:t>
      </w:r>
      <w:r w:rsidR="00E847CF" w:rsidRPr="00F155BE">
        <w:rPr>
          <w:rStyle w:val="NoterefInText"/>
        </w:rPr>
        <w:footnoteReference w:id="99"/>
      </w:r>
      <w:r w:rsidR="00DF0A04" w:rsidRPr="005E6068">
        <w:rPr>
          <w:rFonts w:cs="Times New Roman PS"/>
          <w:noProof w:val="0"/>
        </w:rPr>
        <w:t xml:space="preserve"> </w:t>
      </w:r>
      <w:r w:rsidR="00E847CF" w:rsidRPr="005E6068">
        <w:rPr>
          <w:rFonts w:cs="Times New Roman PS"/>
          <w:noProof w:val="0"/>
        </w:rPr>
        <w:t>The emphasis on select peer firm benchmarking does not seem consistent with stifling competition.</w:t>
      </w:r>
      <w:r w:rsidR="00DF0A04" w:rsidRPr="005E6068">
        <w:rPr>
          <w:rFonts w:cs="Times New Roman PS"/>
          <w:noProof w:val="0"/>
        </w:rPr>
        <w:t xml:space="preserve"> </w:t>
      </w:r>
    </w:p>
    <w:p w14:paraId="36153EF8" w14:textId="0E268A7D" w:rsidR="00E847CF" w:rsidRPr="005E6068" w:rsidRDefault="00E847CF" w:rsidP="001B39BE">
      <w:pPr>
        <w:pStyle w:val="Document"/>
        <w:rPr>
          <w:rFonts w:cs="Times New Roman PS"/>
          <w:noProof w:val="0"/>
        </w:rPr>
      </w:pPr>
      <w:r w:rsidRPr="005E6068">
        <w:rPr>
          <w:rFonts w:cs="Times New Roman PS"/>
          <w:noProof w:val="0"/>
        </w:rPr>
        <w:t>This is not to suggest that encouraging or discouraging interfirm competition is the sole or even primary concern in designing RPE-based incentives.</w:t>
      </w:r>
      <w:r w:rsidR="00DF0A04" w:rsidRPr="005E6068">
        <w:rPr>
          <w:rFonts w:cs="Times New Roman PS"/>
          <w:noProof w:val="0"/>
        </w:rPr>
        <w:t xml:space="preserve"> </w:t>
      </w:r>
      <w:r w:rsidRPr="005E6068">
        <w:rPr>
          <w:rFonts w:cs="Times New Roman PS"/>
          <w:noProof w:val="0"/>
        </w:rPr>
        <w:t xml:space="preserve">Benchmarking </w:t>
      </w:r>
      <w:r w:rsidR="00624D62" w:rsidRPr="005E6068">
        <w:rPr>
          <w:rFonts w:cs="Times New Roman PS"/>
          <w:noProof w:val="0"/>
        </w:rPr>
        <w:t>based</w:t>
      </w:r>
      <w:r w:rsidRPr="005E6068">
        <w:rPr>
          <w:rFonts w:cs="Times New Roman PS"/>
          <w:noProof w:val="0"/>
        </w:rPr>
        <w:t xml:space="preserve"> on a broad market index performs a different economic function than benchmarking based on direct peer performance.</w:t>
      </w:r>
      <w:r w:rsidR="00DF0A04" w:rsidRPr="005E6068">
        <w:rPr>
          <w:rFonts w:cs="Times New Roman PS"/>
          <w:noProof w:val="0"/>
        </w:rPr>
        <w:t xml:space="preserve"> </w:t>
      </w:r>
      <w:r w:rsidRPr="005E6068">
        <w:rPr>
          <w:rFonts w:cs="Times New Roman PS"/>
          <w:noProof w:val="0"/>
        </w:rPr>
        <w:t xml:space="preserve">The former </w:t>
      </w:r>
      <w:r w:rsidRPr="005E6068">
        <w:rPr>
          <w:rFonts w:cs="Times New Roman PS"/>
          <w:noProof w:val="0"/>
        </w:rPr>
        <w:lastRenderedPageBreak/>
        <w:t>approach filters out broad market movements</w:t>
      </w:r>
      <w:r w:rsidR="006005EF" w:rsidRPr="005E6068">
        <w:rPr>
          <w:rFonts w:cs="Times New Roman PS"/>
          <w:noProof w:val="0"/>
        </w:rPr>
        <w:t>—</w:t>
      </w:r>
      <w:r w:rsidR="00051004">
        <w:rPr>
          <w:rFonts w:cs="Times New Roman PS"/>
          <w:noProof w:val="0"/>
        </w:rPr>
        <w:t xml:space="preserve">such as the run </w:t>
      </w:r>
      <w:r w:rsidRPr="005E6068">
        <w:rPr>
          <w:rFonts w:cs="Times New Roman PS"/>
          <w:noProof w:val="0"/>
        </w:rPr>
        <w:t>up in the entire stock market during the early years of this decade</w:t>
      </w:r>
      <w:r w:rsidR="006005EF" w:rsidRPr="005E6068">
        <w:rPr>
          <w:rFonts w:cs="Times New Roman PS"/>
          <w:noProof w:val="0"/>
        </w:rPr>
        <w:t>—</w:t>
      </w:r>
      <w:r w:rsidRPr="005E6068">
        <w:rPr>
          <w:rFonts w:cs="Times New Roman PS"/>
          <w:noProof w:val="0"/>
        </w:rPr>
        <w:t>while the latter approach filters out market trends and industry trends.</w:t>
      </w:r>
      <w:r w:rsidR="00DF0A04" w:rsidRPr="005E6068">
        <w:rPr>
          <w:rFonts w:cs="Times New Roman PS"/>
          <w:noProof w:val="0"/>
        </w:rPr>
        <w:t xml:space="preserve"> </w:t>
      </w:r>
      <w:r w:rsidRPr="005E6068">
        <w:rPr>
          <w:rFonts w:cs="Times New Roman PS"/>
          <w:noProof w:val="0"/>
        </w:rPr>
        <w:t>Each has its advantages, but the heavy use of select peer groups does not support the idea that pay design serves as a mechanism for discouraging competition.</w:t>
      </w:r>
    </w:p>
    <w:p w14:paraId="681D710E" w14:textId="365D7DFB" w:rsidR="00E847CF" w:rsidRPr="005E6068" w:rsidRDefault="00E847CF" w:rsidP="001B39BE">
      <w:pPr>
        <w:pStyle w:val="Document"/>
        <w:rPr>
          <w:rFonts w:cs="Times New Roman PS"/>
          <w:noProof w:val="0"/>
        </w:rPr>
      </w:pPr>
      <w:r w:rsidRPr="005E6068">
        <w:rPr>
          <w:rFonts w:cs="Times New Roman PS"/>
          <w:noProof w:val="0"/>
        </w:rPr>
        <w:t>As discussed above, Schmalz argues that RPE-based compensation encourages product market competition when performance is measured based on company value creation, since such metrics encourage competition over market share and output, but that RPE discourages competition when based on margins, since margins are generally improved by restricting output.</w:t>
      </w:r>
      <w:bookmarkStart w:id="74" w:name="_Ref18937561"/>
      <w:r w:rsidRPr="00F155BE">
        <w:rPr>
          <w:rStyle w:val="NoterefInText"/>
        </w:rPr>
        <w:footnoteReference w:id="100"/>
      </w:r>
      <w:bookmarkEnd w:id="74"/>
      <w:r w:rsidR="00DF0A04" w:rsidRPr="005E6068">
        <w:rPr>
          <w:rFonts w:cs="Times New Roman PS"/>
          <w:noProof w:val="0"/>
        </w:rPr>
        <w:t xml:space="preserve"> </w:t>
      </w:r>
      <w:r w:rsidRPr="005E6068">
        <w:rPr>
          <w:rFonts w:cs="Times New Roman PS"/>
          <w:noProof w:val="0"/>
        </w:rPr>
        <w:t xml:space="preserve">All else equal, common owners would prefer their portfolio companies to restrict output and </w:t>
      </w:r>
      <w:r w:rsidR="006A0B8B" w:rsidRPr="005E6068">
        <w:rPr>
          <w:rFonts w:cs="Times New Roman PS"/>
          <w:noProof w:val="0"/>
        </w:rPr>
        <w:t>push</w:t>
      </w:r>
      <w:r w:rsidR="005F6F9A">
        <w:rPr>
          <w:rFonts w:cs="Times New Roman PS"/>
          <w:noProof w:val="0"/>
        </w:rPr>
        <w:t xml:space="preserve"> </w:t>
      </w:r>
      <w:r w:rsidRPr="005E6068">
        <w:rPr>
          <w:rFonts w:cs="Times New Roman PS"/>
          <w:noProof w:val="0"/>
        </w:rPr>
        <w:t>up prices.</w:t>
      </w:r>
      <w:r w:rsidR="00DF0A04" w:rsidRPr="005E6068">
        <w:rPr>
          <w:rFonts w:cs="Times New Roman PS"/>
          <w:noProof w:val="0"/>
        </w:rPr>
        <w:t xml:space="preserve"> </w:t>
      </w:r>
      <w:r w:rsidRPr="005E6068">
        <w:rPr>
          <w:rFonts w:cs="Times New Roman PS"/>
          <w:noProof w:val="0"/>
        </w:rPr>
        <w:t>So it is feasible that companies might embrace RPE (and satisfy the proxy advisory firms and other stakeholders) while selecting RPE metrics that do not encourage fierce product market competition between commonly owned peer firms.</w:t>
      </w:r>
      <w:r w:rsidR="00DF0A04" w:rsidRPr="005E6068">
        <w:rPr>
          <w:rFonts w:cs="Times New Roman PS"/>
          <w:noProof w:val="0"/>
        </w:rPr>
        <w:t xml:space="preserve"> </w:t>
      </w:r>
    </w:p>
    <w:p w14:paraId="4C87126F" w14:textId="0C02988B" w:rsidR="00E847CF" w:rsidRPr="005E6068" w:rsidRDefault="00E847CF" w:rsidP="001B39BE">
      <w:pPr>
        <w:pStyle w:val="Document"/>
        <w:rPr>
          <w:rFonts w:cs="Times New Roman PS"/>
          <w:noProof w:val="0"/>
        </w:rPr>
      </w:pPr>
      <w:r w:rsidRPr="005E6068">
        <w:rPr>
          <w:rFonts w:cs="Times New Roman PS"/>
          <w:noProof w:val="0"/>
        </w:rPr>
        <w:t>Again, both types of RPE metrics are encountered in practice, but</w:t>
      </w:r>
      <w:r w:rsidR="00415909" w:rsidRPr="005E6068">
        <w:rPr>
          <w:rFonts w:cs="Times New Roman PS"/>
          <w:noProof w:val="0"/>
        </w:rPr>
        <w:t xml:space="preserve"> </w:t>
      </w:r>
      <w:r w:rsidRPr="005E6068">
        <w:rPr>
          <w:rFonts w:cs="Times New Roman PS"/>
          <w:noProof w:val="0"/>
        </w:rPr>
        <w:t>the most common metric employed</w:t>
      </w:r>
      <w:r w:rsidR="00EC08A3">
        <w:rPr>
          <w:rFonts w:cs="Times New Roman PS"/>
          <w:noProof w:val="0"/>
        </w:rPr>
        <w:t>, by far,</w:t>
      </w:r>
      <w:r w:rsidR="001C3E0E" w:rsidRPr="005E6068">
        <w:rPr>
          <w:rFonts w:cs="Times New Roman PS"/>
          <w:noProof w:val="0"/>
        </w:rPr>
        <w:t xml:space="preserve"> </w:t>
      </w:r>
      <w:r w:rsidRPr="005E6068">
        <w:rPr>
          <w:rFonts w:cs="Times New Roman PS"/>
          <w:noProof w:val="0"/>
        </w:rPr>
        <w:t>is total shareholder return</w:t>
      </w:r>
      <w:r w:rsidR="001C3E0E" w:rsidRPr="005E6068">
        <w:rPr>
          <w:rFonts w:cs="Times New Roman PS"/>
          <w:noProof w:val="0"/>
        </w:rPr>
        <w:t>—</w:t>
      </w:r>
      <w:r w:rsidRPr="005E6068">
        <w:rPr>
          <w:rFonts w:cs="Times New Roman PS"/>
          <w:noProof w:val="0"/>
        </w:rPr>
        <w:t xml:space="preserve">and this metric falls squarely </w:t>
      </w:r>
      <w:r w:rsidR="001C3E0E" w:rsidRPr="005E6068">
        <w:rPr>
          <w:rFonts w:cs="Times New Roman PS"/>
          <w:noProof w:val="0"/>
        </w:rPr>
        <w:t xml:space="preserve">within </w:t>
      </w:r>
      <w:r w:rsidRPr="005E6068">
        <w:rPr>
          <w:rFonts w:cs="Times New Roman PS"/>
          <w:noProof w:val="0"/>
        </w:rPr>
        <w:t>the value creation/pro-competition camp.</w:t>
      </w:r>
      <w:r w:rsidR="00DF0A04" w:rsidRPr="005E6068">
        <w:rPr>
          <w:rFonts w:cs="Times New Roman PS"/>
          <w:noProof w:val="0"/>
        </w:rPr>
        <w:t xml:space="preserve"> </w:t>
      </w:r>
      <w:r w:rsidRPr="005E6068">
        <w:rPr>
          <w:rFonts w:cs="Times New Roman PS"/>
          <w:noProof w:val="0"/>
        </w:rPr>
        <w:t>Bizjak, Kalpathy, Li</w:t>
      </w:r>
      <w:r w:rsidR="006F0D6E" w:rsidRPr="005E6068">
        <w:rPr>
          <w:rFonts w:cs="Times New Roman PS"/>
          <w:noProof w:val="0"/>
        </w:rPr>
        <w:t>,</w:t>
      </w:r>
      <w:r w:rsidRPr="005E6068">
        <w:rPr>
          <w:rFonts w:cs="Times New Roman PS"/>
          <w:noProof w:val="0"/>
        </w:rPr>
        <w:t xml:space="preserve"> and Young find that 88% of ISS Incentive Lab companies issuing RPE awards in 2015 employed a total </w:t>
      </w:r>
      <w:r w:rsidR="006A0B8B" w:rsidRPr="005E6068">
        <w:rPr>
          <w:rFonts w:cs="Times New Roman PS"/>
          <w:noProof w:val="0"/>
        </w:rPr>
        <w:t>shareholder</w:t>
      </w:r>
      <w:r w:rsidR="005F6F9A">
        <w:rPr>
          <w:rFonts w:cs="Times New Roman PS"/>
          <w:noProof w:val="0"/>
        </w:rPr>
        <w:t xml:space="preserve"> </w:t>
      </w:r>
      <w:r w:rsidRPr="005E6068">
        <w:rPr>
          <w:rFonts w:cs="Times New Roman PS"/>
          <w:noProof w:val="0"/>
        </w:rPr>
        <w:t>return metric.</w:t>
      </w:r>
      <w:bookmarkStart w:id="75" w:name="_Ref18937577"/>
      <w:r w:rsidRPr="00F155BE">
        <w:rPr>
          <w:rStyle w:val="NoterefInText"/>
        </w:rPr>
        <w:footnoteReference w:id="101"/>
      </w:r>
      <w:bookmarkEnd w:id="75"/>
      <w:r w:rsidR="00DF0A04" w:rsidRPr="005E6068">
        <w:rPr>
          <w:rFonts w:cs="Times New Roman PS"/>
          <w:noProof w:val="0"/>
        </w:rPr>
        <w:t xml:space="preserve"> </w:t>
      </w:r>
      <w:r w:rsidRPr="005E6068">
        <w:rPr>
          <w:rFonts w:cs="Times New Roman PS"/>
          <w:noProof w:val="0"/>
        </w:rPr>
        <w:t>Again, heavy reliance on total shareholder return metrics does not seem to be consistent with discouraging competition through executive pay design.</w:t>
      </w:r>
    </w:p>
    <w:p w14:paraId="74DAF8D3" w14:textId="77777777" w:rsidR="00E847CF" w:rsidRPr="005E6068" w:rsidRDefault="00E847CF" w:rsidP="001B39BE">
      <w:pPr>
        <w:pStyle w:val="Document"/>
        <w:rPr>
          <w:rFonts w:cs="Times New Roman PS"/>
          <w:noProof w:val="0"/>
        </w:rPr>
      </w:pPr>
      <w:r w:rsidRPr="005E6068">
        <w:rPr>
          <w:rFonts w:cs="Times New Roman PS"/>
          <w:noProof w:val="0"/>
        </w:rPr>
        <w:t>Another possibility is that companies in industries with high levels of common ownership shun RPE relative to companies in other industries or that these companies tend to employ weaker or competition-dampening RPE structures.</w:t>
      </w:r>
      <w:r w:rsidR="00DF0A04" w:rsidRPr="005E6068">
        <w:rPr>
          <w:rFonts w:cs="Times New Roman PS"/>
          <w:noProof w:val="0"/>
        </w:rPr>
        <w:t xml:space="preserve"> </w:t>
      </w:r>
      <w:r w:rsidRPr="005E6068">
        <w:rPr>
          <w:rFonts w:cs="Times New Roman PS"/>
          <w:noProof w:val="0"/>
        </w:rPr>
        <w:t>This brings us to the empirical literature addressing the relationship between common ownership and RPE use, which is considered in the next section.</w:t>
      </w:r>
    </w:p>
    <w:p w14:paraId="0F88A1F4" w14:textId="77777777" w:rsidR="00E847CF" w:rsidRPr="005E6068" w:rsidRDefault="00E847CF" w:rsidP="001B39BE">
      <w:pPr>
        <w:pStyle w:val="SubHead2"/>
        <w:widowControl/>
        <w:rPr>
          <w:noProof w:val="0"/>
        </w:rPr>
      </w:pPr>
      <w:bookmarkStart w:id="76" w:name="_Toc16064712"/>
      <w:bookmarkStart w:id="77" w:name="_Toc23780670"/>
      <w:r w:rsidRPr="005E6068">
        <w:rPr>
          <w:i w:val="0"/>
          <w:noProof w:val="0"/>
        </w:rPr>
        <w:t>E.</w:t>
      </w:r>
      <w:r w:rsidR="00247A8B" w:rsidRPr="005E6068">
        <w:rPr>
          <w:i w:val="0"/>
          <w:noProof w:val="0"/>
        </w:rPr>
        <w:tab/>
      </w:r>
      <w:r w:rsidRPr="005E6068">
        <w:rPr>
          <w:noProof w:val="0"/>
        </w:rPr>
        <w:t>A New Challenge to the Empirical Evidence on the Association Between Common Ownership and the Use of RPE</w:t>
      </w:r>
      <w:bookmarkEnd w:id="76"/>
      <w:bookmarkEnd w:id="77"/>
    </w:p>
    <w:p w14:paraId="07B9C551" w14:textId="34430584" w:rsidR="00E847CF" w:rsidRPr="005E6068" w:rsidRDefault="00E847CF" w:rsidP="001B39BE">
      <w:pPr>
        <w:pStyle w:val="Document"/>
        <w:rPr>
          <w:rFonts w:cs="Times New Roman PS"/>
          <w:noProof w:val="0"/>
        </w:rPr>
      </w:pPr>
      <w:r w:rsidRPr="005E6068">
        <w:rPr>
          <w:rFonts w:cs="Times New Roman PS"/>
          <w:noProof w:val="0"/>
        </w:rPr>
        <w:t>The empirical evidence linking common ownership to reduced use of RPE is actually relatively modest.</w:t>
      </w:r>
      <w:r w:rsidR="00DF0A04" w:rsidRPr="005E6068">
        <w:rPr>
          <w:rFonts w:cs="Times New Roman PS"/>
          <w:noProof w:val="0"/>
        </w:rPr>
        <w:t xml:space="preserve"> </w:t>
      </w:r>
      <w:r w:rsidRPr="005E6068">
        <w:rPr>
          <w:rFonts w:cs="Times New Roman PS"/>
          <w:noProof w:val="0"/>
        </w:rPr>
        <w:t>To date, four working papers investigate the link between common ownership and RPE, per se: the 2016 version of AEGS</w:t>
      </w:r>
      <w:r w:rsidR="009A645E">
        <w:rPr>
          <w:rFonts w:cs="Times New Roman PS"/>
          <w:noProof w:val="0"/>
        </w:rPr>
        <w:t>’</w:t>
      </w:r>
      <w:r w:rsidRPr="005E6068">
        <w:rPr>
          <w:rFonts w:cs="Times New Roman PS"/>
          <w:noProof w:val="0"/>
        </w:rPr>
        <w:t>s paper (later revised to focus on the sensitivity of executive wealth to performance rather than RPE)</w:t>
      </w:r>
      <w:r w:rsidRPr="00F155BE">
        <w:rPr>
          <w:rStyle w:val="NoterefInText"/>
        </w:rPr>
        <w:footnoteReference w:id="102"/>
      </w:r>
      <w:r w:rsidRPr="005E6068">
        <w:rPr>
          <w:rFonts w:cs="Times New Roman PS"/>
          <w:noProof w:val="0"/>
        </w:rPr>
        <w:t xml:space="preserve"> and papers by </w:t>
      </w:r>
      <w:r w:rsidR="00EC532A">
        <w:rPr>
          <w:rFonts w:cs="Times New Roman PS"/>
          <w:noProof w:val="0"/>
        </w:rPr>
        <w:t xml:space="preserve">Rebecca </w:t>
      </w:r>
      <w:r w:rsidRPr="005E6068">
        <w:rPr>
          <w:rFonts w:cs="Times New Roman PS"/>
          <w:noProof w:val="0"/>
        </w:rPr>
        <w:t>DeSimone</w:t>
      </w:r>
      <w:r w:rsidR="008608BE">
        <w:rPr>
          <w:rFonts w:cs="Times New Roman PS"/>
          <w:noProof w:val="0"/>
        </w:rPr>
        <w:t xml:space="preserve">, Heung </w:t>
      </w:r>
      <w:r w:rsidR="00C6124C">
        <w:rPr>
          <w:rFonts w:cs="Times New Roman PS"/>
          <w:noProof w:val="0"/>
        </w:rPr>
        <w:t>J</w:t>
      </w:r>
      <w:r w:rsidR="008608BE">
        <w:rPr>
          <w:rFonts w:cs="Times New Roman PS"/>
          <w:noProof w:val="0"/>
        </w:rPr>
        <w:t>in Kwon, and Max Liang</w:t>
      </w:r>
      <w:r w:rsidRPr="005E6068">
        <w:rPr>
          <w:rFonts w:cs="Times New Roman PS"/>
          <w:noProof w:val="0"/>
        </w:rPr>
        <w:t>.</w:t>
      </w:r>
      <w:r w:rsidRPr="00F155BE">
        <w:rPr>
          <w:rStyle w:val="NoterefInText"/>
        </w:rPr>
        <w:footnoteReference w:id="103"/>
      </w:r>
      <w:r w:rsidR="00DF0A04" w:rsidRPr="005E6068">
        <w:rPr>
          <w:rFonts w:cs="Times New Roman PS"/>
          <w:noProof w:val="0"/>
        </w:rPr>
        <w:t xml:space="preserve"> </w:t>
      </w:r>
      <w:r w:rsidRPr="005E6068">
        <w:rPr>
          <w:rFonts w:cs="Times New Roman PS"/>
          <w:noProof w:val="0"/>
        </w:rPr>
        <w:t>AEGS and Liang find a negative relationship between common ownership and RPE</w:t>
      </w:r>
      <w:r w:rsidR="00EC532A">
        <w:rPr>
          <w:rFonts w:cs="Times New Roman PS"/>
          <w:noProof w:val="0"/>
        </w:rPr>
        <w:t>,</w:t>
      </w:r>
      <w:r w:rsidR="00EC532A" w:rsidRPr="005E6068">
        <w:rPr>
          <w:rFonts w:cs="Times New Roman PS"/>
          <w:noProof w:val="0"/>
        </w:rPr>
        <w:t xml:space="preserve"> </w:t>
      </w:r>
      <w:r w:rsidRPr="005E6068">
        <w:rPr>
          <w:rFonts w:cs="Times New Roman PS"/>
          <w:noProof w:val="0"/>
        </w:rPr>
        <w:t>Kwon finds a positive relationship</w:t>
      </w:r>
      <w:r w:rsidR="00EC532A">
        <w:rPr>
          <w:rFonts w:cs="Times New Roman PS"/>
          <w:noProof w:val="0"/>
        </w:rPr>
        <w:t>,</w:t>
      </w:r>
      <w:r w:rsidRPr="005E6068">
        <w:rPr>
          <w:rFonts w:cs="Times New Roman PS"/>
          <w:noProof w:val="0"/>
        </w:rPr>
        <w:t xml:space="preserve"> and DeSimone finds no evidence that executive compensation design is a mechanism used by common </w:t>
      </w:r>
      <w:r w:rsidRPr="005E6068">
        <w:rPr>
          <w:rFonts w:cs="Times New Roman PS"/>
          <w:noProof w:val="0"/>
        </w:rPr>
        <w:lastRenderedPageBreak/>
        <w:t>owners to dampen competition.</w:t>
      </w:r>
      <w:r w:rsidR="00415909" w:rsidRPr="00F155BE">
        <w:rPr>
          <w:rStyle w:val="NoterefInText"/>
        </w:rPr>
        <w:footnoteReference w:id="104"/>
      </w:r>
      <w:r w:rsidR="00415909" w:rsidRPr="005E6068">
        <w:rPr>
          <w:rFonts w:cs="Times New Roman PS"/>
          <w:noProof w:val="0"/>
        </w:rPr>
        <w:t xml:space="preserve"> </w:t>
      </w:r>
      <w:r w:rsidRPr="005E6068">
        <w:rPr>
          <w:rFonts w:cs="Times New Roman PS"/>
          <w:noProof w:val="0"/>
        </w:rPr>
        <w:t>So one issue with the empirical evidence is that the results of th</w:t>
      </w:r>
      <w:r w:rsidR="007A3FFC" w:rsidRPr="005E6068">
        <w:rPr>
          <w:rFonts w:cs="Times New Roman PS"/>
          <w:noProof w:val="0"/>
        </w:rPr>
        <w:t>e few studies we have are mixed</w:t>
      </w:r>
      <w:r w:rsidR="00FB05BA">
        <w:rPr>
          <w:rFonts w:cs="Times New Roman PS"/>
          <w:noProof w:val="0"/>
        </w:rPr>
        <w:t>.</w:t>
      </w:r>
      <w:r w:rsidR="00B24BC3">
        <w:rPr>
          <w:rFonts w:cs="Times New Roman PS"/>
          <w:noProof w:val="0"/>
        </w:rPr>
        <w:t xml:space="preserve"> </w:t>
      </w:r>
      <w:r w:rsidR="00FB05BA">
        <w:rPr>
          <w:rFonts w:cs="Times New Roman PS"/>
          <w:noProof w:val="0"/>
        </w:rPr>
        <w:t>O</w:t>
      </w:r>
      <w:r w:rsidRPr="005E6068">
        <w:rPr>
          <w:rFonts w:cs="Times New Roman PS"/>
          <w:noProof w:val="0"/>
        </w:rPr>
        <w:t>ther problems are methodological.</w:t>
      </w:r>
    </w:p>
    <w:p w14:paraId="55097D4E" w14:textId="71A51696" w:rsidR="00E847CF" w:rsidRPr="005E6068" w:rsidRDefault="00E847CF" w:rsidP="001B39BE">
      <w:pPr>
        <w:pStyle w:val="Document"/>
        <w:rPr>
          <w:rFonts w:cs="Times New Roman PS"/>
          <w:noProof w:val="0"/>
        </w:rPr>
      </w:pPr>
      <w:r w:rsidRPr="005E6068">
        <w:rPr>
          <w:rFonts w:cs="Times New Roman PS"/>
          <w:noProof w:val="0"/>
        </w:rPr>
        <w:t>Like the Azar et al</w:t>
      </w:r>
      <w:r w:rsidR="002C27CF" w:rsidRPr="005E6068">
        <w:rPr>
          <w:rFonts w:cs="Times New Roman PS"/>
          <w:noProof w:val="0"/>
        </w:rPr>
        <w:t>.</w:t>
      </w:r>
      <w:r w:rsidRPr="005E6068">
        <w:rPr>
          <w:rFonts w:cs="Times New Roman PS"/>
          <w:noProof w:val="0"/>
        </w:rPr>
        <w:t xml:space="preserve"> airline and banking papers, several of these papers use the </w:t>
      </w:r>
      <w:r w:rsidR="00356F33">
        <w:rPr>
          <w:rFonts w:cs="Times New Roman PS"/>
          <w:noProof w:val="0"/>
        </w:rPr>
        <w:t>MHHI</w:t>
      </w:r>
      <w:r w:rsidRPr="005E6068">
        <w:rPr>
          <w:rFonts w:cs="Times New Roman PS"/>
          <w:noProof w:val="0"/>
        </w:rPr>
        <w:t xml:space="preserve"> to determine common</w:t>
      </w:r>
      <w:r w:rsidR="00356F33">
        <w:rPr>
          <w:rFonts w:cs="Times New Roman PS"/>
          <w:noProof w:val="0"/>
        </w:rPr>
        <w:t>-</w:t>
      </w:r>
      <w:r w:rsidRPr="005E6068">
        <w:rPr>
          <w:rFonts w:cs="Times New Roman PS"/>
          <w:noProof w:val="0"/>
        </w:rPr>
        <w:t>owner incentives.</w:t>
      </w:r>
      <w:r w:rsidRPr="00F155BE">
        <w:rPr>
          <w:rStyle w:val="NoterefInText"/>
        </w:rPr>
        <w:footnoteReference w:id="105"/>
      </w:r>
      <w:r w:rsidR="00DF0A04" w:rsidRPr="005E6068">
        <w:rPr>
          <w:rFonts w:cs="Times New Roman PS"/>
          <w:noProof w:val="0"/>
        </w:rPr>
        <w:t xml:space="preserve"> </w:t>
      </w:r>
      <w:r w:rsidR="00FB05BA">
        <w:rPr>
          <w:rFonts w:cs="Times New Roman PS"/>
          <w:noProof w:val="0"/>
        </w:rPr>
        <w:t>As</w:t>
      </w:r>
      <w:r w:rsidRPr="005E6068">
        <w:rPr>
          <w:rFonts w:cs="Times New Roman PS"/>
          <w:noProof w:val="0"/>
        </w:rPr>
        <w:t xml:space="preserve"> </w:t>
      </w:r>
      <w:r w:rsidR="00FB05BA">
        <w:rPr>
          <w:rFonts w:cs="Times New Roman PS"/>
          <w:noProof w:val="0"/>
        </w:rPr>
        <w:t>noted</w:t>
      </w:r>
      <w:r w:rsidR="00FB05BA" w:rsidRPr="005E6068">
        <w:rPr>
          <w:rFonts w:cs="Times New Roman PS"/>
          <w:noProof w:val="0"/>
        </w:rPr>
        <w:t xml:space="preserve"> </w:t>
      </w:r>
      <w:r w:rsidRPr="005E6068">
        <w:rPr>
          <w:rFonts w:cs="Times New Roman PS"/>
          <w:noProof w:val="0"/>
        </w:rPr>
        <w:t>above, this methodology has been criticized extensively</w:t>
      </w:r>
      <w:r w:rsidR="00B022FF">
        <w:rPr>
          <w:rFonts w:cs="Times New Roman PS"/>
          <w:noProof w:val="0"/>
        </w:rPr>
        <w:t>, and I will not repeat those criticisms here.</w:t>
      </w:r>
      <w:r w:rsidRPr="00F155BE">
        <w:rPr>
          <w:rStyle w:val="NoterefInText"/>
        </w:rPr>
        <w:footnoteReference w:id="106"/>
      </w:r>
      <w:r w:rsidR="00DF0A04" w:rsidRPr="005E6068">
        <w:rPr>
          <w:rFonts w:cs="Times New Roman PS"/>
          <w:noProof w:val="0"/>
        </w:rPr>
        <w:t xml:space="preserve"> </w:t>
      </w:r>
      <w:r w:rsidR="00B022FF">
        <w:rPr>
          <w:rFonts w:cs="Times New Roman PS"/>
          <w:noProof w:val="0"/>
        </w:rPr>
        <w:t>Instead</w:t>
      </w:r>
      <w:r w:rsidR="0085790C">
        <w:rPr>
          <w:rFonts w:cs="Times New Roman PS"/>
          <w:noProof w:val="0"/>
        </w:rPr>
        <w:t>, t</w:t>
      </w:r>
      <w:r w:rsidRPr="005E6068">
        <w:rPr>
          <w:rFonts w:cs="Times New Roman PS"/>
          <w:noProof w:val="0"/>
        </w:rPr>
        <w:t xml:space="preserve">his </w:t>
      </w:r>
      <w:r w:rsidR="00D50C91">
        <w:rPr>
          <w:rFonts w:cs="Times New Roman PS"/>
          <w:noProof w:val="0"/>
        </w:rPr>
        <w:t>Article</w:t>
      </w:r>
      <w:r w:rsidRPr="005E6068">
        <w:rPr>
          <w:rFonts w:cs="Times New Roman PS"/>
          <w:noProof w:val="0"/>
        </w:rPr>
        <w:t xml:space="preserve"> highlights a</w:t>
      </w:r>
      <w:r w:rsidR="0085790C">
        <w:rPr>
          <w:rFonts w:cs="Times New Roman PS"/>
          <w:noProof w:val="0"/>
        </w:rPr>
        <w:t xml:space="preserve"> separate and se</w:t>
      </w:r>
      <w:r w:rsidRPr="005E6068">
        <w:rPr>
          <w:rFonts w:cs="Times New Roman PS"/>
          <w:noProof w:val="0"/>
        </w:rPr>
        <w:t>rious methodological concern with the other side of the equation</w:t>
      </w:r>
      <w:r w:rsidR="0009646F" w:rsidRPr="005E6068">
        <w:rPr>
          <w:rFonts w:cs="Times New Roman PS"/>
          <w:noProof w:val="0"/>
        </w:rPr>
        <w:t>:</w:t>
      </w:r>
      <w:r w:rsidRPr="005E6068">
        <w:rPr>
          <w:rFonts w:cs="Times New Roman PS"/>
          <w:noProof w:val="0"/>
        </w:rPr>
        <w:t xml:space="preserve"> the measurement of executive incentives.</w:t>
      </w:r>
      <w:r w:rsidR="00DF0A04" w:rsidRPr="005E6068">
        <w:rPr>
          <w:rFonts w:cs="Times New Roman PS"/>
          <w:noProof w:val="0"/>
        </w:rPr>
        <w:t xml:space="preserve"> </w:t>
      </w:r>
      <w:r w:rsidRPr="005E6068">
        <w:rPr>
          <w:rFonts w:cs="Times New Roman PS"/>
          <w:noProof w:val="0"/>
        </w:rPr>
        <w:t>In short, the primary empirical strategy employed in these papers is appropriate for identifying implicit RPE but not explicit RPE.</w:t>
      </w:r>
      <w:r w:rsidR="00DF0A04" w:rsidRPr="005E6068">
        <w:rPr>
          <w:rFonts w:cs="Times New Roman PS"/>
          <w:noProof w:val="0"/>
        </w:rPr>
        <w:t xml:space="preserve"> </w:t>
      </w:r>
      <w:r w:rsidRPr="005E6068">
        <w:rPr>
          <w:rFonts w:cs="Times New Roman PS"/>
          <w:noProof w:val="0"/>
        </w:rPr>
        <w:t>If, as I argued above</w:t>
      </w:r>
      <w:r w:rsidR="008608BE">
        <w:rPr>
          <w:rFonts w:cs="Times New Roman PS"/>
          <w:noProof w:val="0"/>
        </w:rPr>
        <w:t xml:space="preserve"> in Part II</w:t>
      </w:r>
      <w:r w:rsidRPr="005E6068">
        <w:rPr>
          <w:rFonts w:cs="Times New Roman PS"/>
          <w:noProof w:val="0"/>
        </w:rPr>
        <w:t>, explicit RPE dominates implicit RPE in modern executive pay arrangements, this is a fatal analytical flaw.</w:t>
      </w:r>
    </w:p>
    <w:p w14:paraId="6818FC9D" w14:textId="4BB88ADE" w:rsidR="00E847CF" w:rsidRPr="005E6068" w:rsidRDefault="00E847CF" w:rsidP="001B39BE">
      <w:pPr>
        <w:pStyle w:val="Document"/>
        <w:rPr>
          <w:rFonts w:cs="Times New Roman PS"/>
          <w:noProof w:val="0"/>
        </w:rPr>
      </w:pPr>
      <w:r w:rsidRPr="005E6068">
        <w:rPr>
          <w:rFonts w:cs="Times New Roman PS"/>
          <w:noProof w:val="0"/>
        </w:rPr>
        <w:t>Each of these papers uses ExecuComp</w:t>
      </w:r>
      <w:r w:rsidR="009A645E">
        <w:rPr>
          <w:rFonts w:cs="Times New Roman PS"/>
          <w:noProof w:val="0"/>
        </w:rPr>
        <w:t>’</w:t>
      </w:r>
      <w:r w:rsidRPr="005E6068">
        <w:rPr>
          <w:rFonts w:cs="Times New Roman PS"/>
          <w:noProof w:val="0"/>
        </w:rPr>
        <w:t xml:space="preserve">s total compensation variable </w:t>
      </w:r>
      <w:r w:rsidR="00C13AC7" w:rsidRPr="005E6068">
        <w:rPr>
          <w:rFonts w:cs="Times New Roman PS"/>
          <w:noProof w:val="0"/>
        </w:rPr>
        <w:t>(</w:t>
      </w:r>
      <w:r w:rsidR="009A645E">
        <w:rPr>
          <w:rFonts w:cs="Times New Roman PS"/>
          <w:noProof w:val="0"/>
        </w:rPr>
        <w:t>“</w:t>
      </w:r>
      <w:r w:rsidRPr="005E6068">
        <w:rPr>
          <w:rFonts w:cs="Times New Roman PS"/>
          <w:noProof w:val="0"/>
        </w:rPr>
        <w:t>TDC1</w:t>
      </w:r>
      <w:r w:rsidR="009A645E">
        <w:rPr>
          <w:rFonts w:cs="Times New Roman PS"/>
          <w:noProof w:val="0"/>
        </w:rPr>
        <w:t>”</w:t>
      </w:r>
      <w:r w:rsidR="00C13AC7" w:rsidRPr="005E6068">
        <w:rPr>
          <w:rFonts w:cs="Times New Roman PS"/>
          <w:noProof w:val="0"/>
        </w:rPr>
        <w:t>)</w:t>
      </w:r>
      <w:r w:rsidRPr="005E6068">
        <w:rPr>
          <w:rFonts w:cs="Times New Roman PS"/>
          <w:noProof w:val="0"/>
        </w:rPr>
        <w:t xml:space="preserve"> as the primary measure of executive compensation.</w:t>
      </w:r>
      <w:r w:rsidR="007A3FFC" w:rsidRPr="00F155BE">
        <w:rPr>
          <w:rStyle w:val="NoterefInText"/>
        </w:rPr>
        <w:footnoteReference w:id="107"/>
      </w:r>
      <w:r w:rsidR="00DF0A04" w:rsidRPr="005E6068">
        <w:rPr>
          <w:rFonts w:cs="Times New Roman PS"/>
          <w:noProof w:val="0"/>
        </w:rPr>
        <w:t xml:space="preserve"> </w:t>
      </w:r>
      <w:r w:rsidR="008608BE">
        <w:rPr>
          <w:rFonts w:cs="Times New Roman PS"/>
          <w:noProof w:val="0"/>
        </w:rPr>
        <w:t>AEGS’s</w:t>
      </w:r>
      <w:r w:rsidRPr="005E6068">
        <w:rPr>
          <w:rFonts w:cs="Times New Roman PS"/>
          <w:noProof w:val="0"/>
        </w:rPr>
        <w:t xml:space="preserve"> strategy is to determine the sensitivity of TDC1 to own</w:t>
      </w:r>
      <w:r w:rsidR="00B8145D">
        <w:rPr>
          <w:rFonts w:cs="Times New Roman PS"/>
          <w:noProof w:val="0"/>
        </w:rPr>
        <w:t>-</w:t>
      </w:r>
      <w:r w:rsidRPr="005E6068">
        <w:rPr>
          <w:rFonts w:cs="Times New Roman PS"/>
          <w:noProof w:val="0"/>
        </w:rPr>
        <w:t>firm and to rival</w:t>
      </w:r>
      <w:r w:rsidR="00B8145D">
        <w:rPr>
          <w:rFonts w:cs="Times New Roman PS"/>
          <w:noProof w:val="0"/>
        </w:rPr>
        <w:t>-</w:t>
      </w:r>
      <w:r w:rsidRPr="005E6068">
        <w:rPr>
          <w:rFonts w:cs="Times New Roman PS"/>
          <w:noProof w:val="0"/>
        </w:rPr>
        <w:t>firm performance.</w:t>
      </w:r>
      <w:r w:rsidRPr="00F155BE">
        <w:rPr>
          <w:rStyle w:val="NoterefInText"/>
        </w:rPr>
        <w:footnoteReference w:id="108"/>
      </w:r>
      <w:r w:rsidR="00DF0A04" w:rsidRPr="005E6068">
        <w:rPr>
          <w:rFonts w:cs="Times New Roman PS"/>
          <w:noProof w:val="0"/>
        </w:rPr>
        <w:t xml:space="preserve"> </w:t>
      </w:r>
      <w:r w:rsidRPr="005E6068">
        <w:rPr>
          <w:rFonts w:cs="Times New Roman PS"/>
          <w:noProof w:val="0"/>
        </w:rPr>
        <w:t>They predict (and find) that where common ownership is high, executives are paid relatively more for rival</w:t>
      </w:r>
      <w:r w:rsidR="00D93B17">
        <w:rPr>
          <w:rFonts w:cs="Times New Roman PS"/>
          <w:noProof w:val="0"/>
        </w:rPr>
        <w:t>-</w:t>
      </w:r>
      <w:r w:rsidRPr="005E6068">
        <w:rPr>
          <w:rFonts w:cs="Times New Roman PS"/>
          <w:noProof w:val="0"/>
        </w:rPr>
        <w:t>firm performance and less for own-firm performance.</w:t>
      </w:r>
      <w:r w:rsidRPr="00F155BE">
        <w:rPr>
          <w:rStyle w:val="NoterefInText"/>
        </w:rPr>
        <w:footnoteReference w:id="109"/>
      </w:r>
      <w:r w:rsidR="00DF0A04" w:rsidRPr="005E6068">
        <w:rPr>
          <w:rFonts w:cs="Times New Roman PS"/>
          <w:noProof w:val="0"/>
        </w:rPr>
        <w:t xml:space="preserve"> </w:t>
      </w:r>
      <w:r w:rsidRPr="005E6068">
        <w:rPr>
          <w:rFonts w:cs="Times New Roman PS"/>
          <w:noProof w:val="0"/>
        </w:rPr>
        <w:t>Liang</w:t>
      </w:r>
      <w:r w:rsidR="009A645E">
        <w:rPr>
          <w:rFonts w:cs="Times New Roman PS"/>
          <w:noProof w:val="0"/>
        </w:rPr>
        <w:t>’</w:t>
      </w:r>
      <w:r w:rsidRPr="005E6068">
        <w:rPr>
          <w:rFonts w:cs="Times New Roman PS"/>
          <w:noProof w:val="0"/>
        </w:rPr>
        <w:t>s strategy is similar.</w:t>
      </w:r>
      <w:r w:rsidRPr="00F155BE">
        <w:rPr>
          <w:rStyle w:val="NoterefInText"/>
        </w:rPr>
        <w:footnoteReference w:id="110"/>
      </w:r>
      <w:r w:rsidR="00DF0A04" w:rsidRPr="005E6068">
        <w:rPr>
          <w:rFonts w:cs="Times New Roman PS"/>
          <w:noProof w:val="0"/>
        </w:rPr>
        <w:t xml:space="preserve"> </w:t>
      </w:r>
      <w:r w:rsidR="003C5758">
        <w:rPr>
          <w:rFonts w:cs="Times New Roman PS"/>
          <w:noProof w:val="0"/>
        </w:rPr>
        <w:t>Kwon also uses</w:t>
      </w:r>
      <w:r w:rsidRPr="005E6068">
        <w:rPr>
          <w:rFonts w:cs="Times New Roman PS"/>
          <w:noProof w:val="0"/>
        </w:rPr>
        <w:t xml:space="preserve"> TDC1 as his primary compensation variable </w:t>
      </w:r>
      <w:r w:rsidR="003C5758">
        <w:rPr>
          <w:rFonts w:cs="Times New Roman PS"/>
          <w:noProof w:val="0"/>
        </w:rPr>
        <w:t>but</w:t>
      </w:r>
      <w:r w:rsidR="00892955" w:rsidRPr="005E6068">
        <w:rPr>
          <w:rFonts w:cs="Times New Roman PS"/>
          <w:noProof w:val="0"/>
        </w:rPr>
        <w:t xml:space="preserve"> </w:t>
      </w:r>
      <w:r w:rsidRPr="005E6068">
        <w:rPr>
          <w:rFonts w:cs="Times New Roman PS"/>
          <w:noProof w:val="0"/>
        </w:rPr>
        <w:t>estimates pay-for-performance elasticities</w:t>
      </w:r>
      <w:r w:rsidRPr="00F155BE">
        <w:rPr>
          <w:rStyle w:val="NoterefInText"/>
        </w:rPr>
        <w:footnoteReference w:id="111"/>
      </w:r>
      <w:r w:rsidR="00FF2118" w:rsidRPr="005E6068">
        <w:rPr>
          <w:rFonts w:cs="Times New Roman PS"/>
          <w:noProof w:val="0"/>
        </w:rPr>
        <w:t>—</w:t>
      </w:r>
      <w:r w:rsidRPr="005E6068">
        <w:rPr>
          <w:rFonts w:cs="Times New Roman PS"/>
          <w:noProof w:val="0"/>
        </w:rPr>
        <w:t>rather than sensitivities</w:t>
      </w:r>
      <w:r w:rsidR="00FF2118" w:rsidRPr="005E6068">
        <w:rPr>
          <w:rFonts w:cs="Times New Roman PS"/>
          <w:noProof w:val="0"/>
        </w:rPr>
        <w:t>—</w:t>
      </w:r>
      <w:r w:rsidRPr="005E6068">
        <w:rPr>
          <w:rFonts w:cs="Times New Roman PS"/>
          <w:noProof w:val="0"/>
        </w:rPr>
        <w:t xml:space="preserve">and finds that greater common </w:t>
      </w:r>
      <w:r w:rsidRPr="005E6068">
        <w:rPr>
          <w:rFonts w:cs="Times New Roman PS"/>
          <w:noProof w:val="0"/>
        </w:rPr>
        <w:lastRenderedPageBreak/>
        <w:t>ownership is associated with greater use of RPE.</w:t>
      </w:r>
      <w:r w:rsidRPr="00F155BE">
        <w:rPr>
          <w:rStyle w:val="NoterefInText"/>
        </w:rPr>
        <w:footnoteReference w:id="112"/>
      </w:r>
      <w:r w:rsidR="00DF0A04" w:rsidRPr="005E6068">
        <w:rPr>
          <w:rFonts w:cs="Times New Roman PS"/>
          <w:noProof w:val="0"/>
        </w:rPr>
        <w:t xml:space="preserve"> </w:t>
      </w:r>
      <w:r w:rsidRPr="005E6068">
        <w:rPr>
          <w:rFonts w:cs="Times New Roman PS"/>
          <w:noProof w:val="0"/>
        </w:rPr>
        <w:t xml:space="preserve">DeSimone replicates each of these approaches </w:t>
      </w:r>
      <w:r w:rsidR="00B75F5C" w:rsidRPr="005E6068">
        <w:rPr>
          <w:rFonts w:cs="Times New Roman PS"/>
          <w:noProof w:val="0"/>
        </w:rPr>
        <w:t>while</w:t>
      </w:r>
      <w:r w:rsidRPr="005E6068">
        <w:rPr>
          <w:rFonts w:cs="Times New Roman PS"/>
          <w:noProof w:val="0"/>
        </w:rPr>
        <w:t xml:space="preserve"> making various methodological improvements and finds no significant relationship between common ownership and use of RPE.</w:t>
      </w:r>
      <w:r w:rsidRPr="00F155BE">
        <w:rPr>
          <w:rStyle w:val="NoterefInText"/>
        </w:rPr>
        <w:footnoteReference w:id="113"/>
      </w:r>
    </w:p>
    <w:p w14:paraId="21A006BA" w14:textId="26214316" w:rsidR="00E847CF" w:rsidRPr="005E6068" w:rsidRDefault="00E847CF" w:rsidP="001B39BE">
      <w:pPr>
        <w:pStyle w:val="Document"/>
        <w:rPr>
          <w:rFonts w:cs="Times New Roman PS"/>
          <w:noProof w:val="0"/>
        </w:rPr>
      </w:pPr>
      <w:r w:rsidRPr="005E6068">
        <w:rPr>
          <w:rFonts w:cs="Times New Roman PS"/>
          <w:noProof w:val="0"/>
        </w:rPr>
        <w:t>ExecuComp variable TDC1 is a measure of aggregate compensation delivered to a senior executive in a given year.</w:t>
      </w:r>
      <w:r w:rsidRPr="00F155BE">
        <w:rPr>
          <w:rStyle w:val="NoterefInText"/>
        </w:rPr>
        <w:footnoteReference w:id="114"/>
      </w:r>
      <w:r w:rsidR="00DF0A04" w:rsidRPr="005E6068">
        <w:rPr>
          <w:rFonts w:cs="Times New Roman PS"/>
          <w:noProof w:val="0"/>
        </w:rPr>
        <w:t xml:space="preserve"> </w:t>
      </w:r>
      <w:r w:rsidRPr="005E6068">
        <w:rPr>
          <w:rFonts w:cs="Times New Roman PS"/>
          <w:noProof w:val="0"/>
        </w:rPr>
        <w:t>It includes salary</w:t>
      </w:r>
      <w:r w:rsidR="00CF4B28">
        <w:rPr>
          <w:rFonts w:cs="Times New Roman PS"/>
          <w:noProof w:val="0"/>
        </w:rPr>
        <w:t>;</w:t>
      </w:r>
      <w:r w:rsidRPr="005E6068">
        <w:rPr>
          <w:rFonts w:cs="Times New Roman PS"/>
          <w:noProof w:val="0"/>
        </w:rPr>
        <w:t xml:space="preserve"> annual bonus</w:t>
      </w:r>
      <w:r w:rsidR="00CF4B28">
        <w:rPr>
          <w:rFonts w:cs="Times New Roman PS"/>
          <w:noProof w:val="0"/>
        </w:rPr>
        <w:t>;</w:t>
      </w:r>
      <w:r w:rsidRPr="005E6068">
        <w:rPr>
          <w:rFonts w:cs="Times New Roman PS"/>
          <w:noProof w:val="0"/>
        </w:rPr>
        <w:t xml:space="preserve"> and long-term, non-equity compensation actually paid</w:t>
      </w:r>
      <w:r w:rsidR="009574FB">
        <w:rPr>
          <w:rFonts w:cs="Times"/>
          <w:noProof w:val="0"/>
        </w:rPr>
        <w:t>—</w:t>
      </w:r>
      <w:r w:rsidRPr="005E6068">
        <w:rPr>
          <w:rFonts w:cs="Times New Roman PS"/>
          <w:noProof w:val="0"/>
        </w:rPr>
        <w:t>but for the largest portions of executive pay</w:t>
      </w:r>
      <w:r w:rsidR="00CF4B28">
        <w:rPr>
          <w:rFonts w:cs="Times New Roman PS"/>
          <w:noProof w:val="0"/>
        </w:rPr>
        <w:t>, that is,</w:t>
      </w:r>
      <w:r w:rsidR="009574FB">
        <w:rPr>
          <w:rFonts w:cs="Times New Roman PS"/>
          <w:noProof w:val="0"/>
        </w:rPr>
        <w:t xml:space="preserve"> </w:t>
      </w:r>
      <w:r w:rsidRPr="005E6068">
        <w:rPr>
          <w:rFonts w:cs="Times New Roman PS"/>
          <w:noProof w:val="0"/>
        </w:rPr>
        <w:t>long-term equity compensation</w:t>
      </w:r>
      <w:r w:rsidR="00CF4B28">
        <w:rPr>
          <w:rFonts w:cs="Times New Roman PS"/>
          <w:noProof w:val="0"/>
        </w:rPr>
        <w:t xml:space="preserve">, </w:t>
      </w:r>
      <w:r w:rsidRPr="005E6068">
        <w:rPr>
          <w:rFonts w:cs="Times New Roman PS"/>
          <w:noProof w:val="0"/>
        </w:rPr>
        <w:t>TDC1 is an ex ante estimate.</w:t>
      </w:r>
      <w:bookmarkStart w:id="78" w:name="_Ref430105347"/>
      <w:r w:rsidRPr="00F155BE">
        <w:rPr>
          <w:rStyle w:val="NoterefInText"/>
        </w:rPr>
        <w:footnoteReference w:id="115"/>
      </w:r>
      <w:bookmarkEnd w:id="78"/>
      <w:r w:rsidR="00DF0A04" w:rsidRPr="005E6068">
        <w:rPr>
          <w:rFonts w:cs="Times New Roman PS"/>
          <w:noProof w:val="0"/>
        </w:rPr>
        <w:t xml:space="preserve"> </w:t>
      </w:r>
      <w:r w:rsidRPr="005E6068">
        <w:rPr>
          <w:rFonts w:cs="Times New Roman PS"/>
          <w:noProof w:val="0"/>
        </w:rPr>
        <w:t>Conventional stock options are valued based on the Black-Scholes-Merton (</w:t>
      </w:r>
      <w:r w:rsidR="009A645E">
        <w:rPr>
          <w:rFonts w:cs="Times New Roman PS"/>
          <w:noProof w:val="0"/>
        </w:rPr>
        <w:t>“</w:t>
      </w:r>
      <w:r w:rsidRPr="005E6068">
        <w:rPr>
          <w:rFonts w:cs="Times New Roman PS"/>
          <w:noProof w:val="0"/>
        </w:rPr>
        <w:t>BSM</w:t>
      </w:r>
      <w:r w:rsidR="009A645E">
        <w:rPr>
          <w:rFonts w:cs="Times New Roman PS"/>
          <w:noProof w:val="0"/>
        </w:rPr>
        <w:t>”</w:t>
      </w:r>
      <w:r w:rsidRPr="005E6068">
        <w:rPr>
          <w:rFonts w:cs="Times New Roman PS"/>
          <w:noProof w:val="0"/>
        </w:rPr>
        <w:t xml:space="preserve">) </w:t>
      </w:r>
      <w:r w:rsidR="00D80FF2" w:rsidRPr="005E6068">
        <w:rPr>
          <w:rFonts w:cs="Times New Roman PS"/>
          <w:noProof w:val="0"/>
        </w:rPr>
        <w:t>option</w:t>
      </w:r>
      <w:r w:rsidR="00D80FF2">
        <w:rPr>
          <w:rFonts w:cs="Times New Roman PS"/>
          <w:noProof w:val="0"/>
        </w:rPr>
        <w:t>-</w:t>
      </w:r>
      <w:r w:rsidRPr="005E6068">
        <w:rPr>
          <w:rFonts w:cs="Times New Roman PS"/>
          <w:noProof w:val="0"/>
        </w:rPr>
        <w:t>pricing formula</w:t>
      </w:r>
      <w:r w:rsidR="008608BE">
        <w:rPr>
          <w:rFonts w:cs="Times New Roman PS"/>
          <w:noProof w:val="0"/>
        </w:rPr>
        <w:t>,</w:t>
      </w:r>
      <w:r w:rsidRPr="005E6068">
        <w:rPr>
          <w:rFonts w:cs="Times New Roman PS"/>
          <w:noProof w:val="0"/>
        </w:rPr>
        <w:t xml:space="preserve"> with certain adjustments to reflect the idiosyncrasies of compensatory options.</w:t>
      </w:r>
      <w:r w:rsidRPr="00F155BE">
        <w:rPr>
          <w:rStyle w:val="NoterefInText"/>
        </w:rPr>
        <w:footnoteReference w:id="116"/>
      </w:r>
      <w:r w:rsidR="00DF0A04" w:rsidRPr="005E6068">
        <w:rPr>
          <w:rFonts w:cs="Times New Roman PS"/>
          <w:noProof w:val="0"/>
        </w:rPr>
        <w:t xml:space="preserve"> </w:t>
      </w:r>
      <w:r w:rsidRPr="005E6068">
        <w:rPr>
          <w:rFonts w:cs="Times New Roman PS"/>
          <w:noProof w:val="0"/>
        </w:rPr>
        <w:t>More complex performance awards are valued using BSM or, more commonly, Monte Carlo simulations.</w:t>
      </w:r>
      <w:r w:rsidRPr="00F155BE">
        <w:rPr>
          <w:rStyle w:val="NoterefInText"/>
        </w:rPr>
        <w:footnoteReference w:id="117"/>
      </w:r>
    </w:p>
    <w:p w14:paraId="132ED26F" w14:textId="4133DD00" w:rsidR="00E847CF" w:rsidRPr="005E6068" w:rsidRDefault="00E847CF" w:rsidP="001B39BE">
      <w:pPr>
        <w:pStyle w:val="Document"/>
        <w:rPr>
          <w:rFonts w:cs="Times New Roman PS"/>
          <w:noProof w:val="0"/>
        </w:rPr>
      </w:pPr>
      <w:r w:rsidRPr="005E6068">
        <w:rPr>
          <w:rFonts w:cs="Times New Roman PS"/>
          <w:noProof w:val="0"/>
        </w:rPr>
        <w:t>The use of TDC1 as a compensation measure and the strategy of determining the sensitivity of TDC1 to own-firm and rival-firm performance are appropriate for identifying implicit use of RPE but are inappropri</w:t>
      </w:r>
      <w:r w:rsidR="00B6250B" w:rsidRPr="005E6068">
        <w:rPr>
          <w:rFonts w:cs="Times New Roman PS"/>
          <w:noProof w:val="0"/>
        </w:rPr>
        <w:t>ate for analyzing explicit RPE.</w:t>
      </w:r>
      <w:r w:rsidR="00DF0A04" w:rsidRPr="005E6068">
        <w:rPr>
          <w:rFonts w:cs="Times New Roman PS"/>
          <w:noProof w:val="0"/>
        </w:rPr>
        <w:t xml:space="preserve"> </w:t>
      </w:r>
      <w:r w:rsidRPr="005E6068">
        <w:rPr>
          <w:rFonts w:cs="Times New Roman PS"/>
          <w:noProof w:val="0"/>
        </w:rPr>
        <w:t>Imagine first a compensation package consisting only of salary and a discretionary cash bonus.</w:t>
      </w:r>
      <w:r w:rsidR="00DF0A04" w:rsidRPr="005E6068">
        <w:rPr>
          <w:rFonts w:cs="Times New Roman PS"/>
          <w:noProof w:val="0"/>
        </w:rPr>
        <w:t xml:space="preserve"> </w:t>
      </w:r>
      <w:r w:rsidRPr="005E6068">
        <w:rPr>
          <w:rFonts w:cs="Times New Roman PS"/>
          <w:noProof w:val="0"/>
        </w:rPr>
        <w:t>Compensation might be awarded based on firm-specific performance only</w:t>
      </w:r>
      <w:r w:rsidR="003A5550">
        <w:rPr>
          <w:rFonts w:cs="Times New Roman PS"/>
          <w:noProof w:val="0"/>
        </w:rPr>
        <w:t>,</w:t>
      </w:r>
      <w:r w:rsidRPr="005E6068">
        <w:rPr>
          <w:rFonts w:cs="Times New Roman PS"/>
          <w:noProof w:val="0"/>
        </w:rPr>
        <w:t xml:space="preserve"> or to some degree</w:t>
      </w:r>
      <w:r w:rsidR="003A5550">
        <w:rPr>
          <w:rFonts w:cs="Times New Roman PS"/>
          <w:noProof w:val="0"/>
        </w:rPr>
        <w:t>,</w:t>
      </w:r>
      <w:r w:rsidRPr="005E6068">
        <w:rPr>
          <w:rFonts w:cs="Times New Roman PS"/>
          <w:noProof w:val="0"/>
        </w:rPr>
        <w:t xml:space="preserve"> upon relative performance.</w:t>
      </w:r>
      <w:r w:rsidR="00DF0A04" w:rsidRPr="005E6068">
        <w:rPr>
          <w:rFonts w:cs="Times New Roman PS"/>
          <w:noProof w:val="0"/>
        </w:rPr>
        <w:t xml:space="preserve"> </w:t>
      </w:r>
      <w:r w:rsidRPr="005E6068">
        <w:rPr>
          <w:rFonts w:cs="Times New Roman PS"/>
          <w:noProof w:val="0"/>
        </w:rPr>
        <w:t xml:space="preserve">The latter would constitute implicit RPE, and measuring the sensitivity of total compensation awarded to </w:t>
      </w:r>
      <w:r w:rsidR="007300AE" w:rsidRPr="005E6068">
        <w:rPr>
          <w:rFonts w:cs="Times New Roman PS"/>
          <w:noProof w:val="0"/>
        </w:rPr>
        <w:t>own</w:t>
      </w:r>
      <w:r w:rsidR="007300AE">
        <w:rPr>
          <w:rFonts w:cs="Times New Roman PS"/>
          <w:noProof w:val="0"/>
        </w:rPr>
        <w:t>-</w:t>
      </w:r>
      <w:r w:rsidRPr="005E6068">
        <w:rPr>
          <w:rFonts w:cs="Times New Roman PS"/>
          <w:noProof w:val="0"/>
        </w:rPr>
        <w:t xml:space="preserve">firm performance and to </w:t>
      </w:r>
      <w:r w:rsidR="007300AE" w:rsidRPr="005E6068">
        <w:rPr>
          <w:rFonts w:cs="Times New Roman PS"/>
          <w:noProof w:val="0"/>
        </w:rPr>
        <w:t>rival</w:t>
      </w:r>
      <w:r w:rsidR="007300AE">
        <w:rPr>
          <w:rFonts w:cs="Times New Roman PS"/>
          <w:noProof w:val="0"/>
        </w:rPr>
        <w:t>-</w:t>
      </w:r>
      <w:r w:rsidRPr="005E6068">
        <w:rPr>
          <w:rFonts w:cs="Times New Roman PS"/>
          <w:noProof w:val="0"/>
        </w:rPr>
        <w:t>firm performance would be a reasonable way to gauge the extent of the implicit use of RPE in setting pay.</w:t>
      </w:r>
      <w:r w:rsidR="00DF0A04" w:rsidRPr="005E6068">
        <w:rPr>
          <w:rFonts w:cs="Times New Roman PS"/>
          <w:noProof w:val="0"/>
        </w:rPr>
        <w:t xml:space="preserve"> </w:t>
      </w:r>
    </w:p>
    <w:p w14:paraId="064B9D08" w14:textId="07ED740E" w:rsidR="00E847CF" w:rsidRPr="005E6068" w:rsidRDefault="00E847CF" w:rsidP="001B39BE">
      <w:pPr>
        <w:pStyle w:val="Document"/>
        <w:rPr>
          <w:rFonts w:cs="Times New Roman PS"/>
          <w:noProof w:val="0"/>
        </w:rPr>
      </w:pPr>
      <w:r w:rsidRPr="005E6068">
        <w:rPr>
          <w:rFonts w:cs="Times New Roman PS"/>
          <w:noProof w:val="0"/>
        </w:rPr>
        <w:t>But now consider pay packages that consist primarily of long-term</w:t>
      </w:r>
      <w:r w:rsidR="00BD36B9">
        <w:rPr>
          <w:rFonts w:cs="Times New Roman PS"/>
          <w:noProof w:val="0"/>
        </w:rPr>
        <w:t>,</w:t>
      </w:r>
      <w:r w:rsidRPr="005E6068">
        <w:rPr>
          <w:rFonts w:cs="Times New Roman PS"/>
          <w:noProof w:val="0"/>
        </w:rPr>
        <w:t xml:space="preserve"> equity-based pay.</w:t>
      </w:r>
      <w:r w:rsidR="00DF0A04" w:rsidRPr="005E6068">
        <w:rPr>
          <w:rFonts w:cs="Times New Roman PS"/>
          <w:noProof w:val="0"/>
        </w:rPr>
        <w:t xml:space="preserve"> </w:t>
      </w:r>
      <w:r w:rsidRPr="005E6068">
        <w:rPr>
          <w:rFonts w:cs="Times New Roman PS"/>
          <w:noProof w:val="0"/>
        </w:rPr>
        <w:t>To simplify, let us suppose that compensation consists solely of a conventional stock option or</w:t>
      </w:r>
      <w:r w:rsidR="00C026F3">
        <w:rPr>
          <w:rFonts w:cs="Times New Roman PS"/>
          <w:noProof w:val="0"/>
        </w:rPr>
        <w:t>,</w:t>
      </w:r>
      <w:r w:rsidRPr="005E6068">
        <w:rPr>
          <w:rFonts w:cs="Times New Roman PS"/>
          <w:noProof w:val="0"/>
        </w:rPr>
        <w:t xml:space="preserve"> alternatively</w:t>
      </w:r>
      <w:r w:rsidR="00C026F3">
        <w:rPr>
          <w:rFonts w:cs="Times New Roman PS"/>
          <w:noProof w:val="0"/>
        </w:rPr>
        <w:t>,</w:t>
      </w:r>
      <w:r w:rsidRPr="005E6068">
        <w:rPr>
          <w:rFonts w:cs="Times New Roman PS"/>
          <w:noProof w:val="0"/>
        </w:rPr>
        <w:t xml:space="preserve"> of a performance</w:t>
      </w:r>
      <w:r w:rsidR="0053337A">
        <w:rPr>
          <w:rFonts w:cs="Times New Roman PS"/>
          <w:noProof w:val="0"/>
        </w:rPr>
        <w:t xml:space="preserve"> </w:t>
      </w:r>
      <w:r w:rsidRPr="005E6068">
        <w:rPr>
          <w:rFonts w:cs="Times New Roman PS"/>
          <w:noProof w:val="0"/>
        </w:rPr>
        <w:t>share grant where the number of shares delivered is a function of three-year total shareholder return relative to that of a dozen peer companies.</w:t>
      </w:r>
      <w:r w:rsidR="00DF0A04" w:rsidRPr="005E6068">
        <w:rPr>
          <w:rFonts w:cs="Times New Roman PS"/>
          <w:noProof w:val="0"/>
        </w:rPr>
        <w:t xml:space="preserve"> </w:t>
      </w:r>
      <w:r w:rsidRPr="005E6068">
        <w:rPr>
          <w:rFonts w:cs="Times New Roman PS"/>
          <w:noProof w:val="0"/>
        </w:rPr>
        <w:t xml:space="preserve">TDC1 in each case would equal the </w:t>
      </w:r>
      <w:r w:rsidR="005E6068" w:rsidRPr="005E6068">
        <w:rPr>
          <w:rFonts w:cs="Times New Roman PS"/>
          <w:noProof w:val="0"/>
        </w:rPr>
        <w:lastRenderedPageBreak/>
        <w:t>ex</w:t>
      </w:r>
      <w:r w:rsidR="002672CC">
        <w:rPr>
          <w:rFonts w:cs="Times New Roman PS"/>
          <w:noProof w:val="0"/>
        </w:rPr>
        <w:t xml:space="preserve"> </w:t>
      </w:r>
      <w:r w:rsidR="005E6068" w:rsidRPr="005E6068">
        <w:rPr>
          <w:rFonts w:cs="Times New Roman PS"/>
          <w:noProof w:val="0"/>
        </w:rPr>
        <w:t>ante</w:t>
      </w:r>
      <w:r w:rsidRPr="005E6068">
        <w:rPr>
          <w:rFonts w:cs="Times New Roman PS"/>
          <w:noProof w:val="0"/>
        </w:rPr>
        <w:t xml:space="preserve"> value of the grant.</w:t>
      </w:r>
      <w:r w:rsidR="00DF0A04" w:rsidRPr="005E6068">
        <w:rPr>
          <w:rFonts w:cs="Times New Roman PS"/>
          <w:noProof w:val="0"/>
        </w:rPr>
        <w:t xml:space="preserve"> </w:t>
      </w:r>
      <w:r w:rsidRPr="005E6068">
        <w:rPr>
          <w:rFonts w:cs="Times New Roman PS"/>
          <w:noProof w:val="0"/>
        </w:rPr>
        <w:t xml:space="preserve">Regressing TDC1 against own-firm and rival-firm performance would determine the implicit use of RPE in setting the </w:t>
      </w:r>
      <w:r w:rsidRPr="005E6068">
        <w:rPr>
          <w:rFonts w:cs="Times New Roman PS"/>
          <w:i/>
          <w:noProof w:val="0"/>
        </w:rPr>
        <w:t>size</w:t>
      </w:r>
      <w:r w:rsidRPr="005E6068">
        <w:rPr>
          <w:rFonts w:cs="Times New Roman PS"/>
          <w:noProof w:val="0"/>
        </w:rPr>
        <w:t xml:space="preserve"> of these equity grants but tells us nothing about their explicit RPE characteristics.</w:t>
      </w:r>
      <w:r w:rsidR="00DF0A04" w:rsidRPr="005E6068">
        <w:rPr>
          <w:rFonts w:cs="Times New Roman PS"/>
          <w:noProof w:val="0"/>
        </w:rPr>
        <w:t xml:space="preserve"> </w:t>
      </w:r>
      <w:r w:rsidRPr="005E6068">
        <w:rPr>
          <w:rFonts w:cs="Times New Roman PS"/>
          <w:noProof w:val="0"/>
        </w:rPr>
        <w:t>In this example, the explicit RPE characteristics would likely be much more important in terms of incentive creation than variations in the size of the awards.</w:t>
      </w:r>
      <w:r w:rsidR="00DF0A04" w:rsidRPr="005E6068">
        <w:rPr>
          <w:rFonts w:cs="Times New Roman PS"/>
          <w:noProof w:val="0"/>
        </w:rPr>
        <w:t xml:space="preserve"> </w:t>
      </w:r>
      <w:r w:rsidRPr="005E6068">
        <w:rPr>
          <w:rFonts w:cs="Times New Roman PS"/>
          <w:noProof w:val="0"/>
        </w:rPr>
        <w:t>The relative total shareholder return award based on selected peer performance has strong explicit RPE features, while the conventional stock option lacks explicit RPE.</w:t>
      </w:r>
    </w:p>
    <w:p w14:paraId="1DD3F1EF" w14:textId="6E6C6525" w:rsidR="00E847CF" w:rsidRPr="005E6068" w:rsidRDefault="00E847CF" w:rsidP="001B39BE">
      <w:pPr>
        <w:pStyle w:val="Document"/>
        <w:rPr>
          <w:rFonts w:cs="Times New Roman PS"/>
          <w:noProof w:val="0"/>
        </w:rPr>
      </w:pPr>
      <w:r w:rsidRPr="005E6068">
        <w:rPr>
          <w:rFonts w:cs="Times New Roman PS"/>
          <w:noProof w:val="0"/>
        </w:rPr>
        <w:t>It is completely possible, in fact, that companies that adopt long-term pay instruments incorporating strong</w:t>
      </w:r>
      <w:r w:rsidR="00BD36B9">
        <w:rPr>
          <w:rFonts w:cs="Times New Roman PS"/>
          <w:noProof w:val="0"/>
        </w:rPr>
        <w:t>,</w:t>
      </w:r>
      <w:r w:rsidRPr="005E6068">
        <w:rPr>
          <w:rFonts w:cs="Times New Roman PS"/>
          <w:noProof w:val="0"/>
        </w:rPr>
        <w:t xml:space="preserve"> explicit RPE metrics might </w:t>
      </w:r>
      <w:r w:rsidRPr="005E6068">
        <w:rPr>
          <w:rFonts w:cs="Times New Roman PS"/>
          <w:i/>
          <w:noProof w:val="0"/>
        </w:rPr>
        <w:t>reduce</w:t>
      </w:r>
      <w:r w:rsidRPr="005E6068">
        <w:rPr>
          <w:rFonts w:cs="Times New Roman PS"/>
          <w:noProof w:val="0"/>
        </w:rPr>
        <w:t xml:space="preserve"> the extent to which they adjust discretionary bonuses or salary awards for relative company performance.</w:t>
      </w:r>
      <w:r w:rsidR="00DF0A04" w:rsidRPr="005E6068">
        <w:rPr>
          <w:rFonts w:cs="Times New Roman PS"/>
          <w:noProof w:val="0"/>
        </w:rPr>
        <w:t xml:space="preserve"> </w:t>
      </w:r>
      <w:r w:rsidRPr="005E6068">
        <w:rPr>
          <w:rFonts w:cs="Times New Roman PS"/>
          <w:noProof w:val="0"/>
        </w:rPr>
        <w:t xml:space="preserve">It is possible, in other words, that variations in implicit RPE determined in this fashion </w:t>
      </w:r>
      <w:r w:rsidR="00177485" w:rsidRPr="005E6068">
        <w:rPr>
          <w:rFonts w:cs="Times New Roman PS"/>
          <w:noProof w:val="0"/>
        </w:rPr>
        <w:t>might run</w:t>
      </w:r>
      <w:r w:rsidRPr="005E6068">
        <w:rPr>
          <w:rFonts w:cs="Times New Roman PS"/>
          <w:noProof w:val="0"/>
        </w:rPr>
        <w:t xml:space="preserve"> opposite to variations in total explicit and implicit RPE.</w:t>
      </w:r>
      <w:r w:rsidRPr="00F155BE">
        <w:rPr>
          <w:rStyle w:val="NoterefInText"/>
        </w:rPr>
        <w:footnoteReference w:id="118"/>
      </w:r>
      <w:r w:rsidR="00DF0A04" w:rsidRPr="005E6068">
        <w:rPr>
          <w:rFonts w:cs="Times New Roman PS"/>
          <w:noProof w:val="0"/>
        </w:rPr>
        <w:t xml:space="preserve"> </w:t>
      </w:r>
      <w:r w:rsidRPr="005E6068">
        <w:rPr>
          <w:rFonts w:cs="Times New Roman PS"/>
          <w:noProof w:val="0"/>
        </w:rPr>
        <w:t>At the least, there may be a tradeoff between identifying implicit and explicit RPE.</w:t>
      </w:r>
      <w:r w:rsidR="00DF0A04" w:rsidRPr="005E6068">
        <w:rPr>
          <w:rFonts w:cs="Times New Roman PS"/>
          <w:noProof w:val="0"/>
        </w:rPr>
        <w:t xml:space="preserve"> </w:t>
      </w:r>
      <w:r w:rsidRPr="005E6068">
        <w:rPr>
          <w:rFonts w:cs="Times New Roman PS"/>
          <w:noProof w:val="0"/>
        </w:rPr>
        <w:t xml:space="preserve">If so, a strategy focusing on implicit RPE might be appropriate for analysis of data from the period in which explicit RPE was generally lacking in U.S. executive pay but inappropriate </w:t>
      </w:r>
      <w:r w:rsidR="00CE1800">
        <w:rPr>
          <w:rFonts w:cs="Times New Roman PS"/>
          <w:noProof w:val="0"/>
        </w:rPr>
        <w:t>for analysis of data from</w:t>
      </w:r>
      <w:r w:rsidRPr="005E6068">
        <w:rPr>
          <w:rFonts w:cs="Times New Roman PS"/>
          <w:noProof w:val="0"/>
        </w:rPr>
        <w:t xml:space="preserve"> the early 2000s</w:t>
      </w:r>
      <w:r w:rsidR="00CE1800">
        <w:rPr>
          <w:rFonts w:cs="Times New Roman PS"/>
          <w:noProof w:val="0"/>
        </w:rPr>
        <w:t xml:space="preserve"> on,</w:t>
      </w:r>
      <w:r w:rsidRPr="005E6068">
        <w:rPr>
          <w:rFonts w:cs="Times New Roman PS"/>
          <w:noProof w:val="0"/>
        </w:rPr>
        <w:t xml:space="preserve"> when explicit RPE </w:t>
      </w:r>
      <w:r w:rsidR="00456A61">
        <w:rPr>
          <w:rFonts w:cs="Times New Roman PS"/>
          <w:noProof w:val="0"/>
        </w:rPr>
        <w:t>became</w:t>
      </w:r>
      <w:r w:rsidRPr="005E6068">
        <w:rPr>
          <w:rFonts w:cs="Times New Roman PS"/>
          <w:noProof w:val="0"/>
        </w:rPr>
        <w:t xml:space="preserve"> central.</w:t>
      </w:r>
    </w:p>
    <w:p w14:paraId="66F50FE0" w14:textId="0452612C" w:rsidR="00E847CF" w:rsidRPr="005E6068" w:rsidRDefault="00E847CF" w:rsidP="001B39BE">
      <w:pPr>
        <w:pStyle w:val="Document"/>
        <w:rPr>
          <w:rFonts w:cs="Times New Roman PS"/>
          <w:noProof w:val="0"/>
        </w:rPr>
      </w:pPr>
      <w:r w:rsidRPr="005E6068">
        <w:rPr>
          <w:rFonts w:cs="Times New Roman PS"/>
          <w:noProof w:val="0"/>
        </w:rPr>
        <w:t xml:space="preserve">DeSimone recognizes that TDC1 incorporates only the </w:t>
      </w:r>
      <w:r w:rsidR="002672CC">
        <w:rPr>
          <w:rFonts w:cs="Times New Roman PS"/>
          <w:noProof w:val="0"/>
        </w:rPr>
        <w:t xml:space="preserve">ex </w:t>
      </w:r>
      <w:r w:rsidR="005E6068" w:rsidRPr="005E6068">
        <w:rPr>
          <w:rFonts w:cs="Times New Roman PS"/>
          <w:noProof w:val="0"/>
        </w:rPr>
        <w:t>ante</w:t>
      </w:r>
      <w:r w:rsidRPr="005E6068">
        <w:rPr>
          <w:rFonts w:cs="Times New Roman PS"/>
          <w:noProof w:val="0"/>
        </w:rPr>
        <w:t xml:space="preserve"> value of compensation and thus fails to fully reflect executive incentives.</w:t>
      </w:r>
      <w:r w:rsidRPr="00F155BE">
        <w:rPr>
          <w:rStyle w:val="NoterefInText"/>
        </w:rPr>
        <w:footnoteReference w:id="119"/>
      </w:r>
      <w:r w:rsidR="00DF0A04" w:rsidRPr="005E6068">
        <w:rPr>
          <w:rFonts w:cs="Times New Roman PS"/>
          <w:noProof w:val="0"/>
        </w:rPr>
        <w:t xml:space="preserve"> </w:t>
      </w:r>
      <w:r w:rsidRPr="005E6068">
        <w:rPr>
          <w:rFonts w:cs="Times New Roman PS"/>
          <w:noProof w:val="0"/>
        </w:rPr>
        <w:t>Nonetheless, she replicates (and improves upon) AEGS</w:t>
      </w:r>
      <w:r w:rsidR="00BD36B9">
        <w:rPr>
          <w:rFonts w:cs="Times New Roman PS"/>
          <w:noProof w:val="0"/>
        </w:rPr>
        <w:t>’s</w:t>
      </w:r>
      <w:r w:rsidRPr="005E6068">
        <w:rPr>
          <w:rFonts w:cs="Times New Roman PS"/>
          <w:noProof w:val="0"/>
        </w:rPr>
        <w:t xml:space="preserve"> and Kwon</w:t>
      </w:r>
      <w:r w:rsidR="009A645E">
        <w:rPr>
          <w:rFonts w:cs="Times New Roman PS"/>
          <w:noProof w:val="0"/>
        </w:rPr>
        <w:t>’</w:t>
      </w:r>
      <w:r w:rsidRPr="005E6068">
        <w:rPr>
          <w:rFonts w:cs="Times New Roman PS"/>
          <w:noProof w:val="0"/>
        </w:rPr>
        <w:t>s approaches and finds no relationship between common ownership and the use of RPE.</w:t>
      </w:r>
      <w:r w:rsidRPr="00F155BE">
        <w:rPr>
          <w:rStyle w:val="NoterefInText"/>
        </w:rPr>
        <w:footnoteReference w:id="120"/>
      </w:r>
      <w:r w:rsidR="00DF0A04" w:rsidRPr="005E6068">
        <w:rPr>
          <w:rFonts w:cs="Times New Roman PS"/>
          <w:noProof w:val="0"/>
        </w:rPr>
        <w:t xml:space="preserve"> </w:t>
      </w:r>
      <w:r w:rsidRPr="005E6068">
        <w:rPr>
          <w:rFonts w:cs="Times New Roman PS"/>
          <w:noProof w:val="0"/>
        </w:rPr>
        <w:t>DeSimone goes on, however, to use ISS Incentive Lab data to test the relationship between common ownership (employing still admittedly flawed methodology) and the explicit use of RPE.</w:t>
      </w:r>
      <w:r w:rsidR="008A68CC" w:rsidRPr="00F155BE">
        <w:rPr>
          <w:rStyle w:val="NoterefInText"/>
        </w:rPr>
        <w:footnoteReference w:id="121"/>
      </w:r>
      <w:r w:rsidR="00DF0A04" w:rsidRPr="005E6068">
        <w:rPr>
          <w:rFonts w:cs="Times New Roman PS"/>
          <w:noProof w:val="0"/>
        </w:rPr>
        <w:t xml:space="preserve"> </w:t>
      </w:r>
      <w:r w:rsidRPr="005E6068">
        <w:rPr>
          <w:rFonts w:cs="Times New Roman PS"/>
          <w:noProof w:val="0"/>
        </w:rPr>
        <w:t>She finds that the probability that a company utilizes an explicit RPE-based award and a measure of the size of such awards are either unrelated to or positively associated with the degree of common ownership within an industry.</w:t>
      </w:r>
      <w:r w:rsidRPr="00F155BE">
        <w:rPr>
          <w:rStyle w:val="NoterefInText"/>
        </w:rPr>
        <w:footnoteReference w:id="122"/>
      </w:r>
      <w:r w:rsidRPr="005E6068">
        <w:rPr>
          <w:rFonts w:cs="Times New Roman PS"/>
          <w:noProof w:val="0"/>
        </w:rPr>
        <w:t xml:space="preserve"> </w:t>
      </w:r>
    </w:p>
    <w:p w14:paraId="626EEB1A" w14:textId="4E66D5A1" w:rsidR="00E847CF" w:rsidRPr="005E6068" w:rsidRDefault="00E847CF" w:rsidP="001B39BE">
      <w:pPr>
        <w:pStyle w:val="Document"/>
        <w:rPr>
          <w:rFonts w:cs="Times New Roman PS"/>
          <w:noProof w:val="0"/>
        </w:rPr>
      </w:pPr>
      <w:r w:rsidRPr="005E6068">
        <w:rPr>
          <w:rFonts w:cs="Times New Roman PS"/>
          <w:noProof w:val="0"/>
        </w:rPr>
        <w:t xml:space="preserve">In sum, the empirical evidence linking common ownership to reduced use of RPE is weak at best, is subject to serious methodological criticism, and does not support the claim that executive pay design is a mechanism </w:t>
      </w:r>
      <w:r w:rsidR="00314E56">
        <w:rPr>
          <w:rFonts w:cs="Times New Roman PS"/>
          <w:noProof w:val="0"/>
        </w:rPr>
        <w:t xml:space="preserve">for </w:t>
      </w:r>
      <w:r w:rsidRPr="005E6068">
        <w:rPr>
          <w:rFonts w:cs="Times New Roman PS"/>
          <w:noProof w:val="0"/>
        </w:rPr>
        <w:t>linking common ownership to reduced competition between companies.</w:t>
      </w:r>
      <w:r w:rsidR="00DF0A04" w:rsidRPr="005E6068">
        <w:rPr>
          <w:rFonts w:cs="Times New Roman PS"/>
          <w:noProof w:val="0"/>
        </w:rPr>
        <w:t xml:space="preserve"> </w:t>
      </w:r>
      <w:r w:rsidRPr="005E6068">
        <w:rPr>
          <w:rFonts w:cs="Times New Roman PS"/>
          <w:noProof w:val="0"/>
        </w:rPr>
        <w:t xml:space="preserve">Given the secular trends </w:t>
      </w:r>
      <w:r w:rsidRPr="005E6068">
        <w:rPr>
          <w:rFonts w:cs="Times New Roman PS"/>
          <w:noProof w:val="0"/>
        </w:rPr>
        <w:lastRenderedPageBreak/>
        <w:t>of increasing common ownership and increasing reliance on explicit RPE in executive pay contracts, as well as the particular design features of RPE-based awards, the lack of strong RPE-based evidence supporting the compensation mechanism is not surprising.</w:t>
      </w:r>
    </w:p>
    <w:p w14:paraId="543E1F68" w14:textId="77777777" w:rsidR="00E847CF" w:rsidRPr="005E6068" w:rsidRDefault="00E847CF" w:rsidP="00D97953">
      <w:pPr>
        <w:pStyle w:val="SubHead1"/>
      </w:pPr>
      <w:bookmarkStart w:id="79" w:name="_Toc16064713"/>
      <w:bookmarkStart w:id="80" w:name="_Toc23780671"/>
      <w:r w:rsidRPr="005E6068">
        <w:t>III.</w:t>
      </w:r>
      <w:r w:rsidR="00247A8B" w:rsidRPr="005E6068">
        <w:tab/>
      </w:r>
      <w:r w:rsidRPr="005E6068">
        <w:t>Common Ownership and the Sensitivity</w:t>
      </w:r>
      <w:r w:rsidR="00247A8B" w:rsidRPr="005E6068">
        <w:br/>
      </w:r>
      <w:r w:rsidRPr="005E6068">
        <w:t xml:space="preserve">of Executive </w:t>
      </w:r>
      <w:r w:rsidRPr="00D97953">
        <w:t>Wealth</w:t>
      </w:r>
      <w:r w:rsidRPr="005E6068">
        <w:t xml:space="preserve"> to Own-Firm Performance</w:t>
      </w:r>
      <w:bookmarkEnd w:id="79"/>
      <w:bookmarkEnd w:id="80"/>
    </w:p>
    <w:p w14:paraId="6E47C640" w14:textId="1632BDD8" w:rsidR="00E847CF" w:rsidRPr="005E6068" w:rsidRDefault="00E847CF" w:rsidP="001B39BE">
      <w:pPr>
        <w:pStyle w:val="Document"/>
        <w:rPr>
          <w:rFonts w:cs="Times New Roman PS"/>
          <w:noProof w:val="0"/>
        </w:rPr>
      </w:pPr>
      <w:r w:rsidRPr="005E6068">
        <w:rPr>
          <w:rFonts w:cs="Times New Roman PS"/>
          <w:noProof w:val="0"/>
        </w:rPr>
        <w:t>AEGS have revised their empirical strategy in the most recent version of their paper.</w:t>
      </w:r>
      <w:r w:rsidR="00DF0A04" w:rsidRPr="005E6068">
        <w:rPr>
          <w:rFonts w:cs="Times New Roman PS"/>
          <w:noProof w:val="0"/>
        </w:rPr>
        <w:t xml:space="preserve"> </w:t>
      </w:r>
      <w:r w:rsidRPr="005E6068">
        <w:rPr>
          <w:rFonts w:cs="Times New Roman PS"/>
          <w:noProof w:val="0"/>
        </w:rPr>
        <w:t>Before, they investigated the association between common ownership and the sensitivity of executive pay to own-firm and rival-firm performance;</w:t>
      </w:r>
      <w:r w:rsidRPr="00F155BE">
        <w:rPr>
          <w:rStyle w:val="NoterefInText"/>
        </w:rPr>
        <w:footnoteReference w:id="123"/>
      </w:r>
      <w:r w:rsidRPr="005E6068">
        <w:rPr>
          <w:rFonts w:cs="Times New Roman PS"/>
          <w:noProof w:val="0"/>
        </w:rPr>
        <w:t xml:space="preserve"> now</w:t>
      </w:r>
      <w:r w:rsidR="00262A12">
        <w:rPr>
          <w:rFonts w:cs="Times New Roman PS"/>
          <w:noProof w:val="0"/>
        </w:rPr>
        <w:t>,</w:t>
      </w:r>
      <w:r w:rsidRPr="005E6068">
        <w:rPr>
          <w:rFonts w:cs="Times New Roman PS"/>
          <w:noProof w:val="0"/>
        </w:rPr>
        <w:t xml:space="preserve"> they investigate the relationship between common ownership and the sensitivity of executive wealth to own-firm performance.</w:t>
      </w:r>
      <w:r w:rsidRPr="00F155BE">
        <w:rPr>
          <w:rStyle w:val="NoterefInText"/>
        </w:rPr>
        <w:footnoteReference w:id="124"/>
      </w:r>
      <w:r w:rsidR="00DF0A04" w:rsidRPr="005E6068">
        <w:rPr>
          <w:rFonts w:cs="Times New Roman PS"/>
          <w:noProof w:val="0"/>
        </w:rPr>
        <w:t xml:space="preserve"> </w:t>
      </w:r>
      <w:r w:rsidRPr="005E6068">
        <w:rPr>
          <w:rFonts w:cs="Times New Roman PS"/>
          <w:noProof w:val="0"/>
        </w:rPr>
        <w:t xml:space="preserve">The reason for </w:t>
      </w:r>
      <w:r w:rsidR="00CE1800">
        <w:rPr>
          <w:rFonts w:cs="Times New Roman PS"/>
          <w:noProof w:val="0"/>
        </w:rPr>
        <w:t>this</w:t>
      </w:r>
      <w:r w:rsidRPr="005E6068">
        <w:rPr>
          <w:rFonts w:cs="Times New Roman PS"/>
          <w:noProof w:val="0"/>
        </w:rPr>
        <w:t xml:space="preserve"> change is their recognition that annual </w:t>
      </w:r>
      <w:r w:rsidR="009A645E">
        <w:rPr>
          <w:rFonts w:cs="Times New Roman PS"/>
          <w:noProof w:val="0"/>
        </w:rPr>
        <w:t>“</w:t>
      </w:r>
      <w:r w:rsidRPr="005E6068">
        <w:rPr>
          <w:rFonts w:cs="Times New Roman PS"/>
          <w:noProof w:val="0"/>
        </w:rPr>
        <w:t>flow</w:t>
      </w:r>
      <w:r w:rsidR="009A645E">
        <w:rPr>
          <w:rFonts w:cs="Times New Roman PS"/>
          <w:noProof w:val="0"/>
        </w:rPr>
        <w:t>”</w:t>
      </w:r>
      <w:r w:rsidRPr="005E6068">
        <w:rPr>
          <w:rFonts w:cs="Times New Roman PS"/>
          <w:noProof w:val="0"/>
        </w:rPr>
        <w:t xml:space="preserve"> compensation, even including long-term elements, represents only a fraction of executive incentives.</w:t>
      </w:r>
      <w:r w:rsidRPr="00F155BE">
        <w:rPr>
          <w:rStyle w:val="NoterefInText"/>
        </w:rPr>
        <w:footnoteReference w:id="125"/>
      </w:r>
      <w:r w:rsidR="00DF0A04" w:rsidRPr="005E6068">
        <w:rPr>
          <w:rFonts w:cs="Times New Roman PS"/>
          <w:noProof w:val="0"/>
        </w:rPr>
        <w:t xml:space="preserve"> </w:t>
      </w:r>
      <w:r w:rsidRPr="005E6068">
        <w:rPr>
          <w:rFonts w:cs="Times New Roman PS"/>
          <w:noProof w:val="0"/>
        </w:rPr>
        <w:t>They note that executives</w:t>
      </w:r>
      <w:r w:rsidR="009A645E">
        <w:rPr>
          <w:rFonts w:cs="Times New Roman PS"/>
          <w:noProof w:val="0"/>
        </w:rPr>
        <w:t>’</w:t>
      </w:r>
      <w:r w:rsidRPr="005E6068">
        <w:rPr>
          <w:rFonts w:cs="Times New Roman PS"/>
          <w:noProof w:val="0"/>
        </w:rPr>
        <w:t xml:space="preserve"> vested and unvested stock and option holdings are generally more significant than current pay in creating incentives, including incentives to compete hard with rival firms.</w:t>
      </w:r>
      <w:r w:rsidRPr="00F155BE">
        <w:rPr>
          <w:rStyle w:val="NoterefInText"/>
        </w:rPr>
        <w:footnoteReference w:id="126"/>
      </w:r>
      <w:r w:rsidR="00DF0A04" w:rsidRPr="005E6068">
        <w:rPr>
          <w:rFonts w:cs="Times New Roman PS"/>
          <w:noProof w:val="0"/>
        </w:rPr>
        <w:t xml:space="preserve"> </w:t>
      </w:r>
      <w:r w:rsidR="00CE1800">
        <w:rPr>
          <w:rFonts w:cs="Times New Roman PS"/>
          <w:noProof w:val="0"/>
        </w:rPr>
        <w:t>Their</w:t>
      </w:r>
      <w:r w:rsidRPr="005E6068">
        <w:rPr>
          <w:rFonts w:cs="Times New Roman PS"/>
          <w:noProof w:val="0"/>
        </w:rPr>
        <w:t xml:space="preserve"> revised hypothesis is that greater common ownership leads to</w:t>
      </w:r>
      <w:r w:rsidR="00262A12">
        <w:rPr>
          <w:rFonts w:cs="Times New Roman PS"/>
          <w:noProof w:val="0"/>
        </w:rPr>
        <w:t xml:space="preserve"> less pressure to implement high-</w:t>
      </w:r>
      <w:r w:rsidRPr="005E6068">
        <w:rPr>
          <w:rFonts w:cs="Times New Roman PS"/>
          <w:noProof w:val="0"/>
        </w:rPr>
        <w:t>powered incentives, as measured by the sensitivity of executive wealth to own-firm performance.</w:t>
      </w:r>
      <w:r w:rsidRPr="00F155BE">
        <w:rPr>
          <w:rStyle w:val="NoterefInText"/>
        </w:rPr>
        <w:footnoteReference w:id="127"/>
      </w:r>
      <w:r w:rsidR="00DF0A04" w:rsidRPr="005E6068">
        <w:rPr>
          <w:rFonts w:cs="Times New Roman PS"/>
          <w:noProof w:val="0"/>
        </w:rPr>
        <w:t xml:space="preserve"> </w:t>
      </w:r>
      <w:r w:rsidRPr="005E6068">
        <w:rPr>
          <w:rFonts w:cs="Times New Roman PS"/>
          <w:noProof w:val="0"/>
        </w:rPr>
        <w:t>Unfortunately, as described below, there are serious conceptual and empirical difficulties with a wealth</w:t>
      </w:r>
      <w:r w:rsidR="00314E56">
        <w:rPr>
          <w:rFonts w:cs="Times New Roman PS"/>
          <w:noProof w:val="0"/>
        </w:rPr>
        <w:t>-</w:t>
      </w:r>
      <w:r w:rsidRPr="005E6068">
        <w:rPr>
          <w:rFonts w:cs="Times New Roman PS"/>
          <w:noProof w:val="0"/>
        </w:rPr>
        <w:t xml:space="preserve">sensitivity approach that cause it to be less promising than an RPE-based approach. </w:t>
      </w:r>
    </w:p>
    <w:p w14:paraId="528D6D8D" w14:textId="77777777" w:rsidR="00E847CF" w:rsidRPr="005E6068" w:rsidRDefault="00E847CF" w:rsidP="001B39BE">
      <w:pPr>
        <w:pStyle w:val="SubHead2"/>
        <w:widowControl/>
        <w:rPr>
          <w:noProof w:val="0"/>
        </w:rPr>
      </w:pPr>
      <w:bookmarkStart w:id="81" w:name="_Toc16064714"/>
      <w:bookmarkStart w:id="82" w:name="_Toc23780672"/>
      <w:r w:rsidRPr="005E6068">
        <w:rPr>
          <w:i w:val="0"/>
          <w:noProof w:val="0"/>
        </w:rPr>
        <w:t>A.</w:t>
      </w:r>
      <w:r w:rsidR="00247A8B" w:rsidRPr="005E6068">
        <w:rPr>
          <w:noProof w:val="0"/>
        </w:rPr>
        <w:tab/>
      </w:r>
      <w:r w:rsidRPr="005E6068">
        <w:rPr>
          <w:noProof w:val="0"/>
        </w:rPr>
        <w:t>The Revised AEGS Approach in Detail</w:t>
      </w:r>
      <w:bookmarkEnd w:id="81"/>
      <w:bookmarkEnd w:id="82"/>
    </w:p>
    <w:p w14:paraId="16B08E12" w14:textId="4B4DA7FA" w:rsidR="00E847CF" w:rsidRPr="005E6068" w:rsidRDefault="00E847CF" w:rsidP="001B39BE">
      <w:pPr>
        <w:pStyle w:val="Document"/>
        <w:rPr>
          <w:rFonts w:cs="Times New Roman PS"/>
          <w:noProof w:val="0"/>
        </w:rPr>
      </w:pPr>
      <w:r w:rsidRPr="005E6068">
        <w:rPr>
          <w:rFonts w:cs="Times New Roman PS"/>
          <w:noProof w:val="0"/>
        </w:rPr>
        <w:t>In the latest version of their working paper, AEGS employ various measures of the sensitivity of executive wealth to own-firm performance (</w:t>
      </w:r>
      <w:r w:rsidR="009A645E">
        <w:rPr>
          <w:rFonts w:cs="Times New Roman PS"/>
          <w:noProof w:val="0"/>
        </w:rPr>
        <w:t>“</w:t>
      </w:r>
      <w:r w:rsidRPr="005E6068">
        <w:rPr>
          <w:rFonts w:cs="Times New Roman PS"/>
          <w:noProof w:val="0"/>
        </w:rPr>
        <w:t>WPS</w:t>
      </w:r>
      <w:r w:rsidR="009A645E">
        <w:rPr>
          <w:rFonts w:cs="Times New Roman PS"/>
          <w:noProof w:val="0"/>
        </w:rPr>
        <w:t>”</w:t>
      </w:r>
      <w:r w:rsidRPr="005E6068">
        <w:rPr>
          <w:rFonts w:cs="Times New Roman PS"/>
          <w:noProof w:val="0"/>
        </w:rPr>
        <w:t>) as a dependent variable and various measures of common ownership and other controls as independent variables.</w:t>
      </w:r>
      <w:r w:rsidRPr="00F155BE">
        <w:rPr>
          <w:rStyle w:val="NoterefInText"/>
        </w:rPr>
        <w:footnoteReference w:id="128"/>
      </w:r>
      <w:r w:rsidR="00DF0A04" w:rsidRPr="005E6068">
        <w:rPr>
          <w:rFonts w:cs="Times New Roman PS"/>
          <w:noProof w:val="0"/>
        </w:rPr>
        <w:t xml:space="preserve"> </w:t>
      </w:r>
      <w:r w:rsidRPr="005E6068">
        <w:rPr>
          <w:rFonts w:cs="Times New Roman PS"/>
          <w:noProof w:val="0"/>
        </w:rPr>
        <w:t>In most specifications they find a statistically significant negative association between WPS and the degree of common ownership within an industry.</w:t>
      </w:r>
      <w:r w:rsidRPr="00F155BE">
        <w:rPr>
          <w:rStyle w:val="NoterefInText"/>
        </w:rPr>
        <w:footnoteReference w:id="129"/>
      </w:r>
      <w:r w:rsidR="00DF0A04" w:rsidRPr="005E6068">
        <w:rPr>
          <w:rFonts w:cs="Times New Roman PS"/>
          <w:noProof w:val="0"/>
        </w:rPr>
        <w:t xml:space="preserve"> </w:t>
      </w:r>
      <w:r w:rsidRPr="005E6068">
        <w:rPr>
          <w:rFonts w:cs="Times New Roman PS"/>
          <w:noProof w:val="0"/>
        </w:rPr>
        <w:t>They also conduct a difference-in-differences analysis based on BlackRock</w:t>
      </w:r>
      <w:r w:rsidR="009A645E">
        <w:rPr>
          <w:rFonts w:cs="Times New Roman PS"/>
          <w:noProof w:val="0"/>
        </w:rPr>
        <w:t>’</w:t>
      </w:r>
      <w:r w:rsidRPr="005E6068">
        <w:rPr>
          <w:rFonts w:cs="Times New Roman PS"/>
          <w:noProof w:val="0"/>
        </w:rPr>
        <w:t>s 2009 acquisition of Barclays Global Investors</w:t>
      </w:r>
      <w:r w:rsidR="00886FA6">
        <w:rPr>
          <w:rFonts w:cs="Times New Roman PS"/>
          <w:noProof w:val="0"/>
        </w:rPr>
        <w:t xml:space="preserve"> (</w:t>
      </w:r>
      <w:r w:rsidR="009A645E">
        <w:rPr>
          <w:rFonts w:cs="Times New Roman PS"/>
          <w:noProof w:val="0"/>
        </w:rPr>
        <w:t>“</w:t>
      </w:r>
      <w:r w:rsidR="00886FA6">
        <w:rPr>
          <w:rFonts w:cs="Times New Roman PS"/>
          <w:noProof w:val="0"/>
        </w:rPr>
        <w:t>BGI</w:t>
      </w:r>
      <w:r w:rsidR="009A645E">
        <w:rPr>
          <w:rFonts w:cs="Times New Roman PS"/>
          <w:noProof w:val="0"/>
        </w:rPr>
        <w:t>”</w:t>
      </w:r>
      <w:r w:rsidR="00886FA6">
        <w:rPr>
          <w:rFonts w:cs="Times New Roman PS"/>
          <w:noProof w:val="0"/>
        </w:rPr>
        <w:t>)</w:t>
      </w:r>
      <w:r w:rsidRPr="005E6068">
        <w:rPr>
          <w:rFonts w:cs="Times New Roman PS"/>
          <w:noProof w:val="0"/>
        </w:rPr>
        <w:t>, which consolidated the ownership of two very large and formerly distinct investment portfolios.</w:t>
      </w:r>
      <w:bookmarkStart w:id="83" w:name="_Ref21086610"/>
      <w:r w:rsidRPr="00F155BE">
        <w:rPr>
          <w:rStyle w:val="NoterefInText"/>
        </w:rPr>
        <w:footnoteReference w:id="130"/>
      </w:r>
      <w:bookmarkEnd w:id="83"/>
      <w:r w:rsidR="00DF0A04" w:rsidRPr="005E6068">
        <w:rPr>
          <w:rFonts w:cs="Times New Roman PS"/>
          <w:noProof w:val="0"/>
        </w:rPr>
        <w:t xml:space="preserve"> </w:t>
      </w:r>
      <w:r w:rsidRPr="005E6068">
        <w:rPr>
          <w:rFonts w:cs="Times New Roman PS"/>
          <w:noProof w:val="0"/>
        </w:rPr>
        <w:t xml:space="preserve">Examining data for three years </w:t>
      </w:r>
      <w:r w:rsidRPr="005E6068">
        <w:rPr>
          <w:rFonts w:cs="Times New Roman PS"/>
          <w:noProof w:val="0"/>
        </w:rPr>
        <w:lastRenderedPageBreak/>
        <w:t>following the acquisition compared to three years prior, they find that, relative to other industries, WPS declines when the common ownership within an industry increases as a result of this consolidation.</w:t>
      </w:r>
      <w:r w:rsidRPr="00F155BE">
        <w:rPr>
          <w:rStyle w:val="NoterefInText"/>
        </w:rPr>
        <w:footnoteReference w:id="131"/>
      </w:r>
      <w:r w:rsidR="00DF0A04" w:rsidRPr="005E6068">
        <w:rPr>
          <w:rFonts w:cs="Times New Roman PS"/>
          <w:noProof w:val="0"/>
        </w:rPr>
        <w:t xml:space="preserve"> </w:t>
      </w:r>
      <w:r w:rsidRPr="005E6068">
        <w:rPr>
          <w:rFonts w:cs="Times New Roman PS"/>
          <w:noProof w:val="0"/>
        </w:rPr>
        <w:t>As a possible mechanism for their findings, AEGS suggest:</w:t>
      </w:r>
    </w:p>
    <w:p w14:paraId="0E4705D5" w14:textId="77777777" w:rsidR="00E847CF" w:rsidRPr="005E6068" w:rsidRDefault="00E847CF" w:rsidP="001B39BE">
      <w:pPr>
        <w:pStyle w:val="1StQuoteTXT"/>
      </w:pPr>
      <w:r w:rsidRPr="005E6068">
        <w:t xml:space="preserve">The simplest mechanism is that the absence of a large active blockholder (with a strong interest in the target firm and without interests in competitors) is associated with reduced efforts to design high-powered </w:t>
      </w:r>
      <w:r w:rsidR="00840CC7" w:rsidRPr="005E6068">
        <w:t>managerial</w:t>
      </w:r>
      <w:r w:rsidRPr="005E6068">
        <w:t xml:space="preserve"> incentives.</w:t>
      </w:r>
      <w:r w:rsidR="00DF0A04" w:rsidRPr="005E6068">
        <w:t xml:space="preserve"> </w:t>
      </w:r>
      <w:r w:rsidRPr="005E6068">
        <w:t>In other words, common owners need not actively design flat incentives; they may merely fail to design steep ones the way a non-common owner would.</w:t>
      </w:r>
      <w:r w:rsidRPr="00F155BE">
        <w:rPr>
          <w:rStyle w:val="NoterefInText"/>
        </w:rPr>
        <w:footnoteReference w:id="132"/>
      </w:r>
    </w:p>
    <w:p w14:paraId="55B7862F" w14:textId="77777777" w:rsidR="00E847CF" w:rsidRPr="005E6068" w:rsidRDefault="00E847CF" w:rsidP="001B39BE">
      <w:pPr>
        <w:pStyle w:val="SubHead2"/>
        <w:widowControl/>
        <w:rPr>
          <w:noProof w:val="0"/>
        </w:rPr>
      </w:pPr>
      <w:bookmarkStart w:id="84" w:name="_Toc16064715"/>
      <w:bookmarkStart w:id="85" w:name="_Toc23780673"/>
      <w:r w:rsidRPr="005E6068">
        <w:rPr>
          <w:i w:val="0"/>
          <w:noProof w:val="0"/>
        </w:rPr>
        <w:t>B.</w:t>
      </w:r>
      <w:r w:rsidR="00247A8B" w:rsidRPr="005E6068">
        <w:rPr>
          <w:i w:val="0"/>
          <w:noProof w:val="0"/>
        </w:rPr>
        <w:tab/>
      </w:r>
      <w:r w:rsidRPr="005E6068">
        <w:rPr>
          <w:noProof w:val="0"/>
        </w:rPr>
        <w:t>Concerns with the Revised AEGS Approach</w:t>
      </w:r>
      <w:bookmarkEnd w:id="84"/>
      <w:bookmarkEnd w:id="85"/>
    </w:p>
    <w:p w14:paraId="7CA38FB0" w14:textId="1611D95B" w:rsidR="00E847CF" w:rsidRPr="005E6068" w:rsidRDefault="00E847CF" w:rsidP="001B39BE">
      <w:pPr>
        <w:pStyle w:val="Document"/>
        <w:rPr>
          <w:rFonts w:cs="Times New Roman PS"/>
          <w:noProof w:val="0"/>
        </w:rPr>
      </w:pPr>
      <w:r w:rsidRPr="005E6068">
        <w:rPr>
          <w:rFonts w:cs="Times New Roman PS"/>
          <w:noProof w:val="0"/>
        </w:rPr>
        <w:t>It is certainly true that an executive</w:t>
      </w:r>
      <w:r w:rsidR="009A645E">
        <w:rPr>
          <w:rFonts w:cs="Times New Roman PS"/>
          <w:noProof w:val="0"/>
        </w:rPr>
        <w:t>’</w:t>
      </w:r>
      <w:r w:rsidRPr="005E6068">
        <w:rPr>
          <w:rFonts w:cs="Times New Roman PS"/>
          <w:noProof w:val="0"/>
        </w:rPr>
        <w:t>s incentives depend on her equity portfolio as well as on current compensation instruments.</w:t>
      </w:r>
      <w:r w:rsidR="006F6A13" w:rsidRPr="005E6068">
        <w:rPr>
          <w:rFonts w:cs="Times New Roman PS"/>
          <w:noProof w:val="0"/>
        </w:rPr>
        <w:t xml:space="preserve"> </w:t>
      </w:r>
      <w:r w:rsidRPr="005E6068">
        <w:rPr>
          <w:rFonts w:cs="Times New Roman PS"/>
          <w:noProof w:val="0"/>
        </w:rPr>
        <w:t>And it is also true that evidence of a negative association between WPS and common ownership is consistent with evidence of a negative association between RPE and common ownership.</w:t>
      </w:r>
      <w:r w:rsidRPr="00F155BE">
        <w:rPr>
          <w:rStyle w:val="NoterefInText"/>
        </w:rPr>
        <w:footnoteReference w:id="133"/>
      </w:r>
      <w:r w:rsidR="00DF0A04" w:rsidRPr="005E6068">
        <w:rPr>
          <w:rFonts w:cs="Times New Roman PS"/>
          <w:noProof w:val="0"/>
        </w:rPr>
        <w:t xml:space="preserve"> </w:t>
      </w:r>
      <w:r w:rsidRPr="005E6068">
        <w:rPr>
          <w:rFonts w:cs="Times New Roman PS"/>
          <w:noProof w:val="0"/>
        </w:rPr>
        <w:t>But the shift from an RPE-based approach to a WPS-based approach in evaluating the relationship between common ownership and executive incentives is troubling for several reasons.</w:t>
      </w:r>
      <w:r w:rsidRPr="00F155BE">
        <w:rPr>
          <w:rStyle w:val="NoterefInText"/>
        </w:rPr>
        <w:footnoteReference w:id="134"/>
      </w:r>
    </w:p>
    <w:p w14:paraId="29CC523E" w14:textId="0F0AB299" w:rsidR="00E847CF" w:rsidRPr="005E6068" w:rsidRDefault="00E847CF" w:rsidP="001B39BE">
      <w:pPr>
        <w:pStyle w:val="Document"/>
        <w:rPr>
          <w:rFonts w:cs="Times New Roman PS"/>
          <w:noProof w:val="0"/>
        </w:rPr>
      </w:pPr>
      <w:r w:rsidRPr="005E6068">
        <w:rPr>
          <w:rFonts w:cs="Times New Roman PS"/>
          <w:noProof w:val="0"/>
        </w:rPr>
        <w:t>First, while it is also true that a low wealth</w:t>
      </w:r>
      <w:r w:rsidR="00C34D3B">
        <w:rPr>
          <w:rFonts w:cs="Times New Roman PS"/>
          <w:noProof w:val="0"/>
        </w:rPr>
        <w:t>-</w:t>
      </w:r>
      <w:r w:rsidRPr="005E6068">
        <w:rPr>
          <w:rFonts w:cs="Times New Roman PS"/>
          <w:noProof w:val="0"/>
        </w:rPr>
        <w:t>to</w:t>
      </w:r>
      <w:r w:rsidR="00C34D3B">
        <w:rPr>
          <w:rFonts w:cs="Times New Roman PS"/>
          <w:noProof w:val="0"/>
        </w:rPr>
        <w:t>-</w:t>
      </w:r>
      <w:r w:rsidRPr="005E6068">
        <w:rPr>
          <w:rFonts w:cs="Times New Roman PS"/>
          <w:noProof w:val="0"/>
        </w:rPr>
        <w:t>performance sensitivity would tend to discourage (or more precisely, not encourage) executives to compete hard with rival firms, a low WPS also discourages executives from working hard generally or from taking steps to increase profitability through noncompetitive channels, such as lobbying for more favorable industry-specific tax rules.</w:t>
      </w:r>
      <w:r w:rsidR="00DF0A04" w:rsidRPr="005E6068">
        <w:rPr>
          <w:rFonts w:cs="Times New Roman PS"/>
          <w:noProof w:val="0"/>
        </w:rPr>
        <w:t xml:space="preserve"> </w:t>
      </w:r>
      <w:r w:rsidRPr="005E6068">
        <w:rPr>
          <w:rFonts w:cs="Times New Roman PS"/>
          <w:noProof w:val="0"/>
        </w:rPr>
        <w:t>The idea that common owners would want to provide low-powered incentives in order to discourage competition seems like tossing the baby out with the bathwater and is certainly inconsistent with the stated objectives of the largest institutional investors.</w:t>
      </w:r>
      <w:r w:rsidRPr="00F155BE">
        <w:rPr>
          <w:rStyle w:val="NoterefInText"/>
        </w:rPr>
        <w:footnoteReference w:id="135"/>
      </w:r>
      <w:r w:rsidR="00DF0A04" w:rsidRPr="005E6068">
        <w:rPr>
          <w:rFonts w:cs="Times New Roman PS"/>
          <w:noProof w:val="0"/>
        </w:rPr>
        <w:t xml:space="preserve"> </w:t>
      </w:r>
      <w:r w:rsidRPr="005E6068">
        <w:rPr>
          <w:rFonts w:cs="Times New Roman PS"/>
          <w:noProof w:val="0"/>
        </w:rPr>
        <w:t xml:space="preserve">Second, while companies clearly do manage executive incentives through the use and design of annual bonus schemes and equity-based pay, they largely lack the ability to </w:t>
      </w:r>
      <w:r w:rsidR="00406036" w:rsidRPr="005E6068">
        <w:rPr>
          <w:rFonts w:cs="Times New Roman PS"/>
          <w:noProof w:val="0"/>
        </w:rPr>
        <w:t>fine</w:t>
      </w:r>
      <w:r w:rsidR="00406036">
        <w:rPr>
          <w:rFonts w:cs="Times New Roman PS"/>
          <w:noProof w:val="0"/>
        </w:rPr>
        <w:t>-</w:t>
      </w:r>
      <w:r w:rsidRPr="005E6068">
        <w:rPr>
          <w:rFonts w:cs="Times New Roman PS"/>
          <w:noProof w:val="0"/>
        </w:rPr>
        <w:t>tune or adjust WPS in the short to medium term.</w:t>
      </w:r>
      <w:r w:rsidR="00541927" w:rsidRPr="00F155BE">
        <w:rPr>
          <w:rStyle w:val="NoterefInText"/>
        </w:rPr>
        <w:footnoteReference w:id="136"/>
      </w:r>
      <w:r w:rsidR="00DF0A04" w:rsidRPr="005E6068">
        <w:rPr>
          <w:rFonts w:cs="Times New Roman PS"/>
          <w:noProof w:val="0"/>
        </w:rPr>
        <w:t xml:space="preserve"> </w:t>
      </w:r>
      <w:r w:rsidRPr="005E6068">
        <w:rPr>
          <w:rFonts w:cs="Times New Roman PS"/>
          <w:noProof w:val="0"/>
        </w:rPr>
        <w:t>Thus, the results of AEGS</w:t>
      </w:r>
      <w:r w:rsidR="009A645E">
        <w:rPr>
          <w:rFonts w:cs="Times New Roman PS"/>
          <w:noProof w:val="0"/>
        </w:rPr>
        <w:t>’</w:t>
      </w:r>
      <w:r w:rsidRPr="005E6068">
        <w:rPr>
          <w:rFonts w:cs="Times New Roman PS"/>
          <w:noProof w:val="0"/>
        </w:rPr>
        <w:t xml:space="preserve">s BlackRock/BGI merger analysis </w:t>
      </w:r>
      <w:r w:rsidR="00674B72">
        <w:rPr>
          <w:rFonts w:cs="Times New Roman PS"/>
          <w:noProof w:val="0"/>
        </w:rPr>
        <w:lastRenderedPageBreak/>
        <w:t xml:space="preserve">are </w:t>
      </w:r>
      <w:r w:rsidRPr="005E6068">
        <w:rPr>
          <w:rFonts w:cs="Times New Roman PS"/>
          <w:noProof w:val="0"/>
        </w:rPr>
        <w:t>particularly difficult to square with the theory.</w:t>
      </w:r>
      <w:r w:rsidRPr="00F155BE">
        <w:rPr>
          <w:rStyle w:val="NoterefInText"/>
        </w:rPr>
        <w:footnoteReference w:id="137"/>
      </w:r>
      <w:r w:rsidR="00DF0A04" w:rsidRPr="005E6068">
        <w:rPr>
          <w:rFonts w:cs="Times New Roman PS"/>
          <w:noProof w:val="0"/>
        </w:rPr>
        <w:t xml:space="preserve"> </w:t>
      </w:r>
      <w:r w:rsidRPr="005E6068">
        <w:rPr>
          <w:rFonts w:cs="Times New Roman PS"/>
          <w:noProof w:val="0"/>
        </w:rPr>
        <w:t>Third, the shift to a WPS-based approach presents methodological challenges that AEGS may not have addressed</w:t>
      </w:r>
      <w:r w:rsidR="0045667C">
        <w:rPr>
          <w:rFonts w:cs="Times New Roman PS"/>
          <w:noProof w:val="0"/>
        </w:rPr>
        <w:t>—</w:t>
      </w:r>
      <w:r w:rsidRPr="005E6068">
        <w:rPr>
          <w:rFonts w:cs="Times New Roman PS"/>
          <w:noProof w:val="0"/>
        </w:rPr>
        <w:t xml:space="preserve">specifically, </w:t>
      </w:r>
      <w:r w:rsidR="00ED11C7">
        <w:rPr>
          <w:rFonts w:cs="Times New Roman PS"/>
          <w:noProof w:val="0"/>
        </w:rPr>
        <w:t xml:space="preserve">the challenges in </w:t>
      </w:r>
      <w:r w:rsidRPr="005E6068">
        <w:rPr>
          <w:rFonts w:cs="Times New Roman PS"/>
          <w:noProof w:val="0"/>
        </w:rPr>
        <w:t>determining WPS associated with complex performance</w:t>
      </w:r>
      <w:r w:rsidR="0053337A">
        <w:rPr>
          <w:rFonts w:cs="Times New Roman PS"/>
          <w:noProof w:val="0"/>
        </w:rPr>
        <w:t xml:space="preserve"> </w:t>
      </w:r>
      <w:r w:rsidRPr="005E6068">
        <w:rPr>
          <w:rFonts w:cs="Times New Roman PS"/>
          <w:noProof w:val="0"/>
        </w:rPr>
        <w:t>share awards incorporating multiple absolute and relative performance metrics.</w:t>
      </w:r>
      <w:r w:rsidRPr="00F155BE">
        <w:rPr>
          <w:rStyle w:val="NoterefInText"/>
        </w:rPr>
        <w:footnoteReference w:id="138"/>
      </w:r>
    </w:p>
    <w:p w14:paraId="1E7BDF61" w14:textId="3BAF2A51" w:rsidR="00E847CF" w:rsidRPr="005E6068" w:rsidRDefault="00E847CF" w:rsidP="00D97953">
      <w:pPr>
        <w:pStyle w:val="SubHead3"/>
      </w:pPr>
      <w:bookmarkStart w:id="86" w:name="_Toc16064716"/>
      <w:bookmarkStart w:id="87" w:name="_Toc23780674"/>
      <w:r w:rsidRPr="005E6068">
        <w:t>1.</w:t>
      </w:r>
      <w:r w:rsidR="00247A8B" w:rsidRPr="005E6068">
        <w:tab/>
      </w:r>
      <w:r w:rsidR="00900964" w:rsidRPr="005E6068">
        <w:t xml:space="preserve">Low </w:t>
      </w:r>
      <w:r w:rsidR="00900964" w:rsidRPr="00D97953">
        <w:t>WPS</w:t>
      </w:r>
      <w:r w:rsidR="00900964" w:rsidRPr="005E6068">
        <w:t xml:space="preserve"> I</w:t>
      </w:r>
      <w:r w:rsidRPr="005E6068">
        <w:t>s Inconsistent with Common</w:t>
      </w:r>
      <w:r w:rsidR="00ED11C7">
        <w:t>-</w:t>
      </w:r>
      <w:r w:rsidRPr="005E6068">
        <w:t>Owner Preferences</w:t>
      </w:r>
      <w:bookmarkEnd w:id="86"/>
      <w:bookmarkEnd w:id="87"/>
    </w:p>
    <w:p w14:paraId="11355153" w14:textId="07FA355C" w:rsidR="00E847CF" w:rsidRPr="005E6068" w:rsidRDefault="00E847CF" w:rsidP="001B39BE">
      <w:pPr>
        <w:pStyle w:val="Document"/>
        <w:rPr>
          <w:rFonts w:cs="Times New Roman PS"/>
          <w:noProof w:val="0"/>
        </w:rPr>
      </w:pPr>
      <w:r w:rsidRPr="005E6068">
        <w:rPr>
          <w:rFonts w:cs="Times New Roman PS"/>
          <w:noProof w:val="0"/>
        </w:rPr>
        <w:t>First, while one can imagine that large common owners in concentrated industries, such as the airline industry or banking sector,</w:t>
      </w:r>
      <w:r w:rsidRPr="00F155BE">
        <w:rPr>
          <w:rStyle w:val="NoterefInText"/>
        </w:rPr>
        <w:footnoteReference w:id="139"/>
      </w:r>
      <w:r w:rsidRPr="005E6068">
        <w:rPr>
          <w:rFonts w:cs="Times New Roman PS"/>
          <w:noProof w:val="0"/>
        </w:rPr>
        <w:t xml:space="preserve"> might prefer collusion to competition and might prefer to avoid pay practices that encourage fierce competition, it seems much less plausible that preferences for collusion over competition would be so great that common owners would prefer weak incentives to powerful incentives generally.</w:t>
      </w:r>
      <w:r w:rsidR="00DF0A04" w:rsidRPr="005E6068">
        <w:rPr>
          <w:rFonts w:cs="Times New Roman PS"/>
          <w:noProof w:val="0"/>
        </w:rPr>
        <w:t xml:space="preserve"> </w:t>
      </w:r>
      <w:r w:rsidRPr="005E6068">
        <w:rPr>
          <w:rFonts w:cs="Times New Roman PS"/>
          <w:noProof w:val="0"/>
        </w:rPr>
        <w:t>Of course, that is not exactly the claim.</w:t>
      </w:r>
      <w:r w:rsidR="00DF0A04" w:rsidRPr="005E6068">
        <w:rPr>
          <w:rFonts w:cs="Times New Roman PS"/>
          <w:noProof w:val="0"/>
        </w:rPr>
        <w:t xml:space="preserve"> </w:t>
      </w:r>
      <w:r w:rsidRPr="005E6068">
        <w:rPr>
          <w:rFonts w:cs="Times New Roman PS"/>
          <w:noProof w:val="0"/>
        </w:rPr>
        <w:t>The claim is that common owners prefer and achieve marginally weaker executive incentives than noncommon blockholders, all else equal.</w:t>
      </w:r>
      <w:r w:rsidRPr="00F155BE">
        <w:rPr>
          <w:rStyle w:val="NoterefInText"/>
        </w:rPr>
        <w:footnoteReference w:id="140"/>
      </w:r>
      <w:r w:rsidR="00DF0A04" w:rsidRPr="005E6068">
        <w:rPr>
          <w:rFonts w:cs="Times New Roman PS"/>
          <w:noProof w:val="0"/>
        </w:rPr>
        <w:t xml:space="preserve"> </w:t>
      </w:r>
      <w:r w:rsidRPr="005E6068">
        <w:rPr>
          <w:rFonts w:cs="Times New Roman PS"/>
          <w:noProof w:val="0"/>
        </w:rPr>
        <w:t>Even so, it is unlikely that these preferences would be strong enough to translate into statistically significant results.</w:t>
      </w:r>
      <w:r w:rsidR="00DF0A04" w:rsidRPr="005E6068">
        <w:rPr>
          <w:rFonts w:cs="Times New Roman PS"/>
          <w:noProof w:val="0"/>
        </w:rPr>
        <w:t xml:space="preserve"> </w:t>
      </w:r>
      <w:r w:rsidRPr="005E6068">
        <w:rPr>
          <w:rFonts w:cs="Times New Roman PS"/>
          <w:noProof w:val="0"/>
        </w:rPr>
        <w:t>Reducing pay-for-performance incentives simply seems too blunt an instrument for minimizing interfirm competition.</w:t>
      </w:r>
      <w:r w:rsidR="00DF0A04" w:rsidRPr="005E6068">
        <w:rPr>
          <w:rFonts w:cs="Times New Roman PS"/>
          <w:noProof w:val="0"/>
        </w:rPr>
        <w:t xml:space="preserve"> </w:t>
      </w:r>
      <w:r w:rsidRPr="005E6068">
        <w:rPr>
          <w:rFonts w:cs="Times New Roman PS"/>
          <w:noProof w:val="0"/>
        </w:rPr>
        <w:t>At the same time that investors would be reducing incentives for interfirm competition, they would be reducing incentives for executives to work hard generally, including in ways that would not shift profits away from competitors but would increase overall industry profitability, such as through lobbying for tax or other regulatory concessions.</w:t>
      </w:r>
      <w:r w:rsidR="00DF0A04" w:rsidRPr="005E6068">
        <w:rPr>
          <w:rFonts w:cs="Times New Roman PS"/>
          <w:noProof w:val="0"/>
        </w:rPr>
        <w:t xml:space="preserve"> </w:t>
      </w:r>
      <w:r w:rsidRPr="005E6068">
        <w:rPr>
          <w:rFonts w:cs="Times New Roman PS"/>
          <w:noProof w:val="0"/>
        </w:rPr>
        <w:t xml:space="preserve">As Hemphill and Kahan suggest, </w:t>
      </w:r>
      <w:r w:rsidR="009A645E">
        <w:rPr>
          <w:rFonts w:cs="Times New Roman PS"/>
          <w:noProof w:val="0"/>
        </w:rPr>
        <w:t>“</w:t>
      </w:r>
      <w:r w:rsidR="00406036">
        <w:rPr>
          <w:rFonts w:cs="Times New Roman PS"/>
          <w:noProof w:val="0"/>
        </w:rPr>
        <w:t>A</w:t>
      </w:r>
      <w:r w:rsidR="00DD364D">
        <w:rPr>
          <w:rFonts w:cs="Times New Roman PS"/>
          <w:noProof w:val="0"/>
        </w:rPr>
        <w:t xml:space="preserve"> </w:t>
      </w:r>
      <w:r w:rsidRPr="005E6068">
        <w:rPr>
          <w:rFonts w:cs="Times New Roman PS"/>
          <w:noProof w:val="0"/>
        </w:rPr>
        <w:t xml:space="preserve">wholesale dilution of [executive] incentives makes sense, if at all, only for firms where the bulk of managerial effort otherwise would be devoted to competition at the expense of other [commonly owned] </w:t>
      </w:r>
      <w:r w:rsidR="00530B74" w:rsidRPr="005E6068">
        <w:rPr>
          <w:rFonts w:cs="Times New Roman PS"/>
          <w:noProof w:val="0"/>
        </w:rPr>
        <w:t xml:space="preserve">portfolio </w:t>
      </w:r>
      <w:r w:rsidRPr="005E6068">
        <w:rPr>
          <w:rFonts w:cs="Times New Roman PS"/>
          <w:noProof w:val="0"/>
        </w:rPr>
        <w:t>firms.</w:t>
      </w:r>
      <w:r w:rsidR="009A645E">
        <w:rPr>
          <w:rFonts w:cs="Times New Roman PS"/>
          <w:noProof w:val="0"/>
        </w:rPr>
        <w:t>”</w:t>
      </w:r>
      <w:r w:rsidRPr="00F155BE">
        <w:rPr>
          <w:rStyle w:val="NoterefInText"/>
        </w:rPr>
        <w:footnoteReference w:id="141"/>
      </w:r>
    </w:p>
    <w:p w14:paraId="457DA2C3" w14:textId="2F249BAE" w:rsidR="00E847CF" w:rsidRPr="005E6068" w:rsidRDefault="00E847CF" w:rsidP="001B39BE">
      <w:pPr>
        <w:pStyle w:val="Document"/>
        <w:rPr>
          <w:rFonts w:cs="Times New Roman PS"/>
          <w:noProof w:val="0"/>
        </w:rPr>
      </w:pPr>
      <w:r w:rsidRPr="005E6068">
        <w:rPr>
          <w:rFonts w:cs="Times New Roman PS"/>
          <w:noProof w:val="0"/>
        </w:rPr>
        <w:t>This is the key difference between WPS and RPE</w:t>
      </w:r>
      <w:r w:rsidR="00674B72">
        <w:rPr>
          <w:rFonts w:cs="Times New Roman PS"/>
          <w:noProof w:val="0"/>
        </w:rPr>
        <w:t>,</w:t>
      </w:r>
      <w:r w:rsidRPr="005E6068">
        <w:rPr>
          <w:rFonts w:cs="Times New Roman PS"/>
          <w:noProof w:val="0"/>
        </w:rPr>
        <w:t xml:space="preserve"> and the key reason that WPS is a less plausible lever for managing executive incentives than RPE.</w:t>
      </w:r>
      <w:r w:rsidR="00DF0A04" w:rsidRPr="005E6068">
        <w:rPr>
          <w:rFonts w:cs="Times New Roman PS"/>
          <w:noProof w:val="0"/>
        </w:rPr>
        <w:t xml:space="preserve"> </w:t>
      </w:r>
      <w:r w:rsidRPr="005E6068">
        <w:rPr>
          <w:rFonts w:cs="Times New Roman PS"/>
          <w:noProof w:val="0"/>
        </w:rPr>
        <w:t>Strong WPS incentives with low RPE would encourage a focus on overall profitability but not fierce competition with rival firms</w:t>
      </w:r>
      <w:r w:rsidR="008A1EAF">
        <w:rPr>
          <w:rFonts w:cs="Times New Roman PS"/>
          <w:noProof w:val="0"/>
        </w:rPr>
        <w:t>,</w:t>
      </w:r>
      <w:r w:rsidRPr="005E6068">
        <w:rPr>
          <w:rFonts w:cs="Times New Roman PS"/>
          <w:noProof w:val="0"/>
        </w:rPr>
        <w:t xml:space="preserve"> whereas strong WPS</w:t>
      </w:r>
      <w:r w:rsidR="008A1EAF">
        <w:rPr>
          <w:rFonts w:cs="Times New Roman PS"/>
          <w:noProof w:val="0"/>
        </w:rPr>
        <w:t>-</w:t>
      </w:r>
      <w:r w:rsidRPr="005E6068">
        <w:rPr>
          <w:rFonts w:cs="Times New Roman PS"/>
          <w:noProof w:val="0"/>
        </w:rPr>
        <w:t xml:space="preserve"> and RPE-based incentives would encourage that competition.</w:t>
      </w:r>
      <w:r w:rsidRPr="00F155BE">
        <w:rPr>
          <w:rStyle w:val="NoterefInText"/>
        </w:rPr>
        <w:footnoteReference w:id="142"/>
      </w:r>
      <w:r w:rsidR="00DF0A04" w:rsidRPr="005E6068">
        <w:rPr>
          <w:rFonts w:cs="Times New Roman PS"/>
          <w:noProof w:val="0"/>
        </w:rPr>
        <w:t xml:space="preserve"> </w:t>
      </w:r>
      <w:r w:rsidRPr="005E6068">
        <w:rPr>
          <w:rFonts w:cs="Times New Roman PS"/>
          <w:noProof w:val="0"/>
        </w:rPr>
        <w:t xml:space="preserve">Common </w:t>
      </w:r>
      <w:r w:rsidRPr="005E6068">
        <w:rPr>
          <w:rFonts w:cs="Times New Roman PS"/>
          <w:noProof w:val="0"/>
        </w:rPr>
        <w:lastRenderedPageBreak/>
        <w:t>owners should strongly prefer the former over the latter and the former over weak WPS incentives generally.</w:t>
      </w:r>
    </w:p>
    <w:p w14:paraId="7FD9E2DC" w14:textId="5DC768C6" w:rsidR="00E847CF" w:rsidRPr="005E6068" w:rsidRDefault="00E847CF" w:rsidP="001B39BE">
      <w:pPr>
        <w:pStyle w:val="Document"/>
        <w:rPr>
          <w:rFonts w:cs="Times New Roman PS"/>
          <w:noProof w:val="0"/>
        </w:rPr>
      </w:pPr>
      <w:r w:rsidRPr="005E6068">
        <w:rPr>
          <w:rFonts w:cs="Times New Roman PS"/>
          <w:noProof w:val="0"/>
        </w:rPr>
        <w:t>Moreover, the largest institutional investors</w:t>
      </w:r>
      <w:r w:rsidR="00E213A4" w:rsidRPr="005E6068">
        <w:rPr>
          <w:rFonts w:ascii="Times New Roman" w:hAnsi="Times New Roman"/>
          <w:noProof w:val="0"/>
          <w:szCs w:val="21"/>
        </w:rPr>
        <w:t>—</w:t>
      </w:r>
      <w:r w:rsidRPr="005E6068">
        <w:rPr>
          <w:rFonts w:cs="Times New Roman PS"/>
          <w:noProof w:val="0"/>
        </w:rPr>
        <w:t>both the index fund families but also other large institutional investors</w:t>
      </w:r>
      <w:r w:rsidR="00E213A4" w:rsidRPr="005E6068">
        <w:rPr>
          <w:rFonts w:ascii="Times New Roman" w:hAnsi="Times New Roman"/>
          <w:noProof w:val="0"/>
          <w:szCs w:val="21"/>
        </w:rPr>
        <w:t>—</w:t>
      </w:r>
      <w:r w:rsidRPr="005E6068">
        <w:rPr>
          <w:rFonts w:cs="Times New Roman PS"/>
          <w:noProof w:val="0"/>
        </w:rPr>
        <w:t>claim that they care about and work to achieve executive pay arrangements that encourage strong performance.</w:t>
      </w:r>
      <w:r w:rsidR="00DF0A04" w:rsidRPr="005E6068">
        <w:rPr>
          <w:rFonts w:cs="Times New Roman PS"/>
          <w:noProof w:val="0"/>
        </w:rPr>
        <w:t xml:space="preserve"> </w:t>
      </w:r>
      <w:r w:rsidR="00A90158">
        <w:rPr>
          <w:rFonts w:cs="Times New Roman PS"/>
          <w:noProof w:val="0"/>
        </w:rPr>
        <w:t>The proxy-</w:t>
      </w:r>
      <w:r w:rsidRPr="005E6068">
        <w:rPr>
          <w:rFonts w:cs="Times New Roman PS"/>
          <w:noProof w:val="0"/>
        </w:rPr>
        <w:t xml:space="preserve">voting guidelines of these investors uniformly stress the importance of compensation programs that align </w:t>
      </w:r>
      <w:r w:rsidR="00674B72">
        <w:rPr>
          <w:rFonts w:cs="Times New Roman PS"/>
          <w:noProof w:val="0"/>
        </w:rPr>
        <w:t>the</w:t>
      </w:r>
      <w:r w:rsidRPr="005E6068">
        <w:rPr>
          <w:rFonts w:cs="Times New Roman PS"/>
          <w:noProof w:val="0"/>
        </w:rPr>
        <w:t xml:space="preserve"> interests </w:t>
      </w:r>
      <w:r w:rsidR="00674B72">
        <w:rPr>
          <w:rFonts w:cs="Times New Roman PS"/>
          <w:noProof w:val="0"/>
        </w:rPr>
        <w:t xml:space="preserve">of executives </w:t>
      </w:r>
      <w:r w:rsidRPr="005E6068">
        <w:rPr>
          <w:rFonts w:cs="Times New Roman PS"/>
          <w:noProof w:val="0"/>
        </w:rPr>
        <w:t xml:space="preserve">with </w:t>
      </w:r>
      <w:r w:rsidR="00674B72">
        <w:rPr>
          <w:rFonts w:cs="Times New Roman PS"/>
          <w:noProof w:val="0"/>
        </w:rPr>
        <w:t xml:space="preserve">those of </w:t>
      </w:r>
      <w:r w:rsidRPr="005E6068">
        <w:rPr>
          <w:rFonts w:cs="Times New Roman PS"/>
          <w:noProof w:val="0"/>
        </w:rPr>
        <w:t>shareholders</w:t>
      </w:r>
      <w:r w:rsidR="00674B72">
        <w:rPr>
          <w:rFonts w:cs="Times New Roman PS"/>
          <w:noProof w:val="0"/>
        </w:rPr>
        <w:t xml:space="preserve"> </w:t>
      </w:r>
      <w:r w:rsidRPr="005E6068">
        <w:rPr>
          <w:rFonts w:cs="Times New Roman PS"/>
          <w:noProof w:val="0"/>
        </w:rPr>
        <w:t>and create an effective link between executive pay and performance.</w:t>
      </w:r>
      <w:bookmarkStart w:id="88" w:name="_Ref18937508"/>
      <w:r w:rsidRPr="00F155BE">
        <w:rPr>
          <w:rStyle w:val="NoterefInText"/>
        </w:rPr>
        <w:footnoteReference w:id="143"/>
      </w:r>
      <w:bookmarkEnd w:id="88"/>
      <w:r w:rsidR="00DF0A04" w:rsidRPr="005E6068">
        <w:rPr>
          <w:rFonts w:cs="Times New Roman PS"/>
          <w:noProof w:val="0"/>
        </w:rPr>
        <w:t xml:space="preserve"> </w:t>
      </w:r>
      <w:r w:rsidRPr="005E6068">
        <w:rPr>
          <w:rFonts w:cs="Times New Roman PS"/>
          <w:noProof w:val="0"/>
        </w:rPr>
        <w:t>Some investors state that they will not support pay arrangements that insufficiently link pay with performance.</w:t>
      </w:r>
      <w:r w:rsidRPr="00F155BE">
        <w:rPr>
          <w:rStyle w:val="NoterefInText"/>
        </w:rPr>
        <w:footnoteReference w:id="144"/>
      </w:r>
      <w:r w:rsidR="00DF0A04" w:rsidRPr="005E6068">
        <w:rPr>
          <w:rFonts w:cs="Times New Roman PS"/>
          <w:noProof w:val="0"/>
        </w:rPr>
        <w:t xml:space="preserve"> </w:t>
      </w:r>
    </w:p>
    <w:p w14:paraId="64E111D3" w14:textId="20E14061" w:rsidR="00E847CF" w:rsidRPr="005E6068" w:rsidRDefault="00E847CF" w:rsidP="001B39BE">
      <w:pPr>
        <w:pStyle w:val="Document"/>
        <w:rPr>
          <w:rFonts w:cs="Times New Roman PS"/>
          <w:noProof w:val="0"/>
        </w:rPr>
      </w:pPr>
      <w:r w:rsidRPr="005E6068">
        <w:rPr>
          <w:rFonts w:cs="Times New Roman PS"/>
          <w:noProof w:val="0"/>
        </w:rPr>
        <w:t>Of course, one might object that the stated preferences of institutional investors for strong incentives should be discounted as cheap talk.</w:t>
      </w:r>
      <w:r w:rsidR="00DF0A04" w:rsidRPr="005E6068">
        <w:rPr>
          <w:rFonts w:cs="Times New Roman PS"/>
          <w:noProof w:val="0"/>
        </w:rPr>
        <w:t xml:space="preserve"> </w:t>
      </w:r>
      <w:r w:rsidRPr="005E6068">
        <w:rPr>
          <w:rFonts w:cs="Times New Roman PS"/>
          <w:noProof w:val="0"/>
        </w:rPr>
        <w:t>How likely is it that institutional investors would publicly announce that they do</w:t>
      </w:r>
      <w:r w:rsidR="007A7ACA" w:rsidRPr="005E6068">
        <w:rPr>
          <w:rFonts w:cs="Times New Roman PS"/>
          <w:noProof w:val="0"/>
        </w:rPr>
        <w:t xml:space="preserve"> not</w:t>
      </w:r>
      <w:r w:rsidR="00B24BC3">
        <w:rPr>
          <w:rFonts w:cs="Times New Roman PS"/>
          <w:noProof w:val="0"/>
        </w:rPr>
        <w:t xml:space="preserve"> </w:t>
      </w:r>
      <w:r w:rsidRPr="005E6068">
        <w:rPr>
          <w:rFonts w:cs="Times New Roman PS"/>
          <w:noProof w:val="0"/>
        </w:rPr>
        <w:t>care about executive pay or actually prefer weak incentives at commonly owned companies, even if it were true?</w:t>
      </w:r>
      <w:r w:rsidR="00DF0A04" w:rsidRPr="005E6068">
        <w:rPr>
          <w:rFonts w:cs="Times New Roman PS"/>
          <w:noProof w:val="0"/>
        </w:rPr>
        <w:t xml:space="preserve"> </w:t>
      </w:r>
      <w:r w:rsidRPr="005E6068">
        <w:rPr>
          <w:rFonts w:cs="Times New Roman PS"/>
          <w:noProof w:val="0"/>
        </w:rPr>
        <w:t>Unfortunately, there is no direct evidence revealing how common owners vote on or otherwise influence executive pay, but we do know that institutional investors are not totally passive on the executive</w:t>
      </w:r>
      <w:r w:rsidR="00C74368">
        <w:rPr>
          <w:rFonts w:cs="Times New Roman PS"/>
          <w:noProof w:val="0"/>
        </w:rPr>
        <w:t>-</w:t>
      </w:r>
      <w:r w:rsidRPr="005E6068">
        <w:rPr>
          <w:rFonts w:cs="Times New Roman PS"/>
          <w:noProof w:val="0"/>
        </w:rPr>
        <w:t>pay front.</w:t>
      </w:r>
      <w:r w:rsidR="00DF0A04" w:rsidRPr="005E6068">
        <w:rPr>
          <w:rFonts w:cs="Times New Roman PS"/>
          <w:noProof w:val="0"/>
        </w:rPr>
        <w:t xml:space="preserve"> </w:t>
      </w:r>
      <w:r w:rsidRPr="005E6068">
        <w:rPr>
          <w:rFonts w:cs="Times New Roman PS"/>
          <w:noProof w:val="0"/>
        </w:rPr>
        <w:t xml:space="preserve">Since 2011, U.S. public companies </w:t>
      </w:r>
      <w:r w:rsidR="00B81A13">
        <w:rPr>
          <w:rFonts w:cs="Times New Roman PS"/>
          <w:noProof w:val="0"/>
        </w:rPr>
        <w:t xml:space="preserve">have been required </w:t>
      </w:r>
      <w:r w:rsidRPr="005E6068">
        <w:rPr>
          <w:rFonts w:cs="Times New Roman PS"/>
          <w:noProof w:val="0"/>
        </w:rPr>
        <w:t>to hold a nonbinding shareholder vote on the acceptability of senior executive pay at least once every three years.</w:t>
      </w:r>
      <w:r w:rsidRPr="00F155BE">
        <w:rPr>
          <w:rStyle w:val="NoterefInText"/>
        </w:rPr>
        <w:footnoteReference w:id="145"/>
      </w:r>
      <w:r w:rsidR="00DF0A04" w:rsidRPr="005E6068">
        <w:rPr>
          <w:rFonts w:cs="Times New Roman PS"/>
          <w:noProof w:val="0"/>
        </w:rPr>
        <w:t xml:space="preserve"> </w:t>
      </w:r>
      <w:r w:rsidRPr="005E6068">
        <w:rPr>
          <w:rFonts w:cs="Times New Roman PS"/>
          <w:noProof w:val="0"/>
        </w:rPr>
        <w:t>While</w:t>
      </w:r>
      <w:r w:rsidR="00200FB9" w:rsidRPr="005E6068">
        <w:rPr>
          <w:rFonts w:cs="Times New Roman PS"/>
          <w:noProof w:val="0"/>
        </w:rPr>
        <w:t xml:space="preserve"> a large majority of shareholders approve</w:t>
      </w:r>
      <w:r w:rsidRPr="005E6068">
        <w:rPr>
          <w:rFonts w:cs="Times New Roman PS"/>
          <w:noProof w:val="0"/>
        </w:rPr>
        <w:t xml:space="preserve"> most of these </w:t>
      </w:r>
      <w:r w:rsidR="009A645E">
        <w:rPr>
          <w:rFonts w:cs="Times New Roman PS"/>
          <w:noProof w:val="0"/>
        </w:rPr>
        <w:t>“</w:t>
      </w:r>
      <w:r w:rsidRPr="005E6068">
        <w:rPr>
          <w:rFonts w:cs="Times New Roman PS"/>
          <w:noProof w:val="0"/>
        </w:rPr>
        <w:t>say on pay</w:t>
      </w:r>
      <w:r w:rsidR="009A645E">
        <w:rPr>
          <w:rFonts w:cs="Times New Roman PS"/>
          <w:noProof w:val="0"/>
        </w:rPr>
        <w:t>”</w:t>
      </w:r>
      <w:r w:rsidRPr="005E6068">
        <w:rPr>
          <w:rFonts w:cs="Times New Roman PS"/>
          <w:noProof w:val="0"/>
        </w:rPr>
        <w:t xml:space="preserve"> proposals,</w:t>
      </w:r>
      <w:r w:rsidRPr="00F155BE">
        <w:rPr>
          <w:rStyle w:val="NoterefInText"/>
        </w:rPr>
        <w:footnoteReference w:id="146"/>
      </w:r>
      <w:r w:rsidRPr="005E6068">
        <w:rPr>
          <w:rFonts w:cs="Times New Roman PS"/>
          <w:noProof w:val="0"/>
        </w:rPr>
        <w:t xml:space="preserve"> institutional investors not infrequently </w:t>
      </w:r>
      <w:r w:rsidRPr="005E6068">
        <w:rPr>
          <w:rFonts w:cs="Times New Roman PS"/>
          <w:noProof w:val="0"/>
        </w:rPr>
        <w:lastRenderedPageBreak/>
        <w:t xml:space="preserve">vote </w:t>
      </w:r>
      <w:r w:rsidR="00B5331D">
        <w:rPr>
          <w:rFonts w:cs="Times New Roman PS"/>
          <w:noProof w:val="0"/>
        </w:rPr>
        <w:t>“</w:t>
      </w:r>
      <w:r w:rsidRPr="005E6068">
        <w:rPr>
          <w:rFonts w:cs="Times New Roman PS"/>
          <w:noProof w:val="0"/>
        </w:rPr>
        <w:t>no.</w:t>
      </w:r>
      <w:r w:rsidR="00B5331D">
        <w:rPr>
          <w:rFonts w:cs="Times New Roman PS"/>
          <w:noProof w:val="0"/>
        </w:rPr>
        <w:t>”</w:t>
      </w:r>
      <w:r w:rsidR="00DF0A04" w:rsidRPr="005E6068">
        <w:rPr>
          <w:rFonts w:cs="Times New Roman PS"/>
          <w:noProof w:val="0"/>
        </w:rPr>
        <w:t xml:space="preserve"> </w:t>
      </w:r>
      <w:r w:rsidRPr="005E6068">
        <w:rPr>
          <w:rFonts w:cs="Times New Roman PS"/>
          <w:noProof w:val="0"/>
        </w:rPr>
        <w:t xml:space="preserve">A recent study found that the median of the largest </w:t>
      </w:r>
      <w:r w:rsidR="008257DE" w:rsidRPr="005E6068">
        <w:rPr>
          <w:rFonts w:cs="Times New Roman PS"/>
          <w:noProof w:val="0"/>
        </w:rPr>
        <w:t>twenty-five</w:t>
      </w:r>
      <w:r w:rsidR="00B24BC3">
        <w:rPr>
          <w:rFonts w:cs="Times New Roman PS"/>
          <w:noProof w:val="0"/>
        </w:rPr>
        <w:t xml:space="preserve"> </w:t>
      </w:r>
      <w:r w:rsidRPr="005E6068">
        <w:rPr>
          <w:rFonts w:cs="Times New Roman PS"/>
          <w:noProof w:val="0"/>
        </w:rPr>
        <w:t xml:space="preserve">institutional investors voted </w:t>
      </w:r>
      <w:r w:rsidR="00B5331D">
        <w:rPr>
          <w:rFonts w:cs="Times New Roman PS"/>
          <w:noProof w:val="0"/>
        </w:rPr>
        <w:t>“</w:t>
      </w:r>
      <w:r w:rsidRPr="005E6068">
        <w:rPr>
          <w:rFonts w:cs="Times New Roman PS"/>
          <w:noProof w:val="0"/>
        </w:rPr>
        <w:t>no</w:t>
      </w:r>
      <w:r w:rsidR="00B5331D">
        <w:rPr>
          <w:rFonts w:cs="Times New Roman PS"/>
          <w:noProof w:val="0"/>
        </w:rPr>
        <w:t>”</w:t>
      </w:r>
      <w:r w:rsidRPr="005E6068">
        <w:rPr>
          <w:rFonts w:cs="Times New Roman PS"/>
          <w:noProof w:val="0"/>
        </w:rPr>
        <w:t xml:space="preserve"> on say</w:t>
      </w:r>
      <w:r w:rsidR="00B5331D">
        <w:rPr>
          <w:rFonts w:cs="Times New Roman PS"/>
          <w:noProof w:val="0"/>
        </w:rPr>
        <w:t>-</w:t>
      </w:r>
      <w:r w:rsidRPr="005E6068">
        <w:rPr>
          <w:rFonts w:cs="Times New Roman PS"/>
          <w:noProof w:val="0"/>
        </w:rPr>
        <w:t>on</w:t>
      </w:r>
      <w:r w:rsidR="00B5331D">
        <w:rPr>
          <w:rFonts w:cs="Times New Roman PS"/>
          <w:noProof w:val="0"/>
        </w:rPr>
        <w:t>-</w:t>
      </w:r>
      <w:r w:rsidRPr="005E6068">
        <w:rPr>
          <w:rFonts w:cs="Times New Roman PS"/>
          <w:noProof w:val="0"/>
        </w:rPr>
        <w:t>pay proposals 8.2% of the time in 2016.</w:t>
      </w:r>
      <w:bookmarkStart w:id="89" w:name="_Ref18938294"/>
      <w:r w:rsidRPr="00F155BE">
        <w:rPr>
          <w:rStyle w:val="NoterefInText"/>
        </w:rPr>
        <w:footnoteReference w:id="147"/>
      </w:r>
      <w:bookmarkEnd w:id="89"/>
      <w:r w:rsidR="005559AF">
        <w:rPr>
          <w:rFonts w:cs="Times New Roman PS"/>
          <w:noProof w:val="0"/>
        </w:rPr>
        <w:t xml:space="preserve"> </w:t>
      </w:r>
      <w:r w:rsidRPr="005E6068">
        <w:rPr>
          <w:rFonts w:cs="Times New Roman PS"/>
          <w:noProof w:val="0"/>
        </w:rPr>
        <w:t>The study also found a close correlation between the votes of many of these investors and the recommendations of ISS and/or Glass Lewis, suggesting that the emphasis of the proxy advisory firms on pay for performance translates into say</w:t>
      </w:r>
      <w:r w:rsidR="00B5331D">
        <w:rPr>
          <w:rFonts w:cs="Times New Roman PS"/>
          <w:noProof w:val="0"/>
        </w:rPr>
        <w:t>-</w:t>
      </w:r>
      <w:r w:rsidRPr="005E6068">
        <w:rPr>
          <w:rFonts w:cs="Times New Roman PS"/>
          <w:noProof w:val="0"/>
        </w:rPr>
        <w:t>on</w:t>
      </w:r>
      <w:r w:rsidR="00B5331D">
        <w:rPr>
          <w:rFonts w:cs="Times New Roman PS"/>
          <w:noProof w:val="0"/>
        </w:rPr>
        <w:t>-</w:t>
      </w:r>
      <w:r w:rsidRPr="005E6068">
        <w:rPr>
          <w:rFonts w:cs="Times New Roman PS"/>
          <w:noProof w:val="0"/>
        </w:rPr>
        <w:t>pay voting by at least some large institutional investors that are likely to be common owners.</w:t>
      </w:r>
      <w:r w:rsidRPr="00F155BE">
        <w:rPr>
          <w:rStyle w:val="NoterefInText"/>
        </w:rPr>
        <w:footnoteReference w:id="148"/>
      </w:r>
      <w:r w:rsidR="00DF0A04" w:rsidRPr="005E6068">
        <w:rPr>
          <w:rFonts w:cs="Times New Roman PS"/>
          <w:noProof w:val="0"/>
        </w:rPr>
        <w:t xml:space="preserve"> </w:t>
      </w:r>
      <w:r w:rsidRPr="005E6068">
        <w:rPr>
          <w:rFonts w:cs="Times New Roman PS"/>
          <w:noProof w:val="0"/>
        </w:rPr>
        <w:t xml:space="preserve">In addition, </w:t>
      </w:r>
      <w:r w:rsidR="005559AF">
        <w:rPr>
          <w:rFonts w:cs="Times New Roman PS"/>
          <w:noProof w:val="0"/>
        </w:rPr>
        <w:t xml:space="preserve">Jill </w:t>
      </w:r>
      <w:r w:rsidRPr="005E6068">
        <w:rPr>
          <w:rFonts w:cs="Times New Roman PS"/>
          <w:noProof w:val="0"/>
        </w:rPr>
        <w:t xml:space="preserve">Fisch, </w:t>
      </w:r>
      <w:r w:rsidR="005559AF">
        <w:rPr>
          <w:rFonts w:cs="Times New Roman PS"/>
          <w:noProof w:val="0"/>
        </w:rPr>
        <w:t xml:space="preserve">Darius </w:t>
      </w:r>
      <w:r w:rsidRPr="005E6068">
        <w:rPr>
          <w:rFonts w:cs="Times New Roman PS"/>
          <w:noProof w:val="0"/>
        </w:rPr>
        <w:t xml:space="preserve">Palia, and </w:t>
      </w:r>
      <w:r w:rsidR="005559AF">
        <w:rPr>
          <w:rFonts w:cs="Times New Roman PS"/>
          <w:noProof w:val="0"/>
        </w:rPr>
        <w:t xml:space="preserve">Steven </w:t>
      </w:r>
      <w:r w:rsidRPr="005E6068">
        <w:rPr>
          <w:rFonts w:cs="Times New Roman PS"/>
          <w:noProof w:val="0"/>
        </w:rPr>
        <w:t>Solomon examine</w:t>
      </w:r>
      <w:r w:rsidR="005559AF">
        <w:rPr>
          <w:rFonts w:cs="Times New Roman PS"/>
          <w:noProof w:val="0"/>
        </w:rPr>
        <w:t>d</w:t>
      </w:r>
      <w:r w:rsidRPr="005E6068">
        <w:rPr>
          <w:rFonts w:cs="Times New Roman PS"/>
          <w:noProof w:val="0"/>
        </w:rPr>
        <w:t xml:space="preserve"> say</w:t>
      </w:r>
      <w:r w:rsidR="00B5331D">
        <w:rPr>
          <w:rFonts w:cs="Times New Roman PS"/>
          <w:noProof w:val="0"/>
        </w:rPr>
        <w:t>-</w:t>
      </w:r>
      <w:r w:rsidRPr="005E6068">
        <w:rPr>
          <w:rFonts w:cs="Times New Roman PS"/>
          <w:noProof w:val="0"/>
        </w:rPr>
        <w:t>on</w:t>
      </w:r>
      <w:r w:rsidR="00B5331D">
        <w:rPr>
          <w:rFonts w:cs="Times New Roman PS"/>
          <w:noProof w:val="0"/>
        </w:rPr>
        <w:t>-</w:t>
      </w:r>
      <w:r w:rsidRPr="005E6068">
        <w:rPr>
          <w:rFonts w:cs="Times New Roman PS"/>
          <w:noProof w:val="0"/>
        </w:rPr>
        <w:t xml:space="preserve">pay voting at S&amp;P 1500 companies between 2011 and 2016 and </w:t>
      </w:r>
      <w:r w:rsidR="005559AF">
        <w:rPr>
          <w:rFonts w:cs="Times New Roman PS"/>
          <w:noProof w:val="0"/>
        </w:rPr>
        <w:t>found</w:t>
      </w:r>
      <w:r w:rsidR="005559AF" w:rsidRPr="005E6068">
        <w:rPr>
          <w:rFonts w:cs="Times New Roman PS"/>
          <w:noProof w:val="0"/>
        </w:rPr>
        <w:t xml:space="preserve"> </w:t>
      </w:r>
      <w:r w:rsidRPr="005E6068">
        <w:rPr>
          <w:rFonts w:cs="Times New Roman PS"/>
          <w:noProof w:val="0"/>
        </w:rPr>
        <w:t>some evidence that the sensitivity of pay to company performance has a statistically significant impact on voting outcomes.</w:t>
      </w:r>
      <w:r w:rsidRPr="00F155BE">
        <w:rPr>
          <w:rStyle w:val="NoterefInText"/>
        </w:rPr>
        <w:footnoteReference w:id="149"/>
      </w:r>
      <w:r w:rsidR="00DF0A04" w:rsidRPr="005E6068">
        <w:rPr>
          <w:rFonts w:cs="Times New Roman PS"/>
          <w:noProof w:val="0"/>
        </w:rPr>
        <w:t xml:space="preserve"> </w:t>
      </w:r>
      <w:r w:rsidRPr="005E6068">
        <w:rPr>
          <w:rFonts w:cs="Times New Roman PS"/>
          <w:noProof w:val="0"/>
        </w:rPr>
        <w:t>Of course, none of this evidence establishes that institutional investors impose discipline on pay practices with equal vigor at companies in industries with heavy common ownership</w:t>
      </w:r>
      <w:r w:rsidR="00A45B47" w:rsidRPr="005E6068">
        <w:rPr>
          <w:rFonts w:cs="Times New Roman PS"/>
          <w:noProof w:val="0"/>
        </w:rPr>
        <w:t>.</w:t>
      </w:r>
      <w:r w:rsidR="0075242C" w:rsidRPr="005E6068">
        <w:rPr>
          <w:rFonts w:cs="Times New Roman PS"/>
          <w:noProof w:val="0"/>
        </w:rPr>
        <w:t xml:space="preserve"> </w:t>
      </w:r>
      <w:r w:rsidR="008257DE" w:rsidRPr="005E6068">
        <w:rPr>
          <w:rFonts w:cs="Times New Roman PS"/>
          <w:noProof w:val="0"/>
        </w:rPr>
        <w:t>However</w:t>
      </w:r>
      <w:r w:rsidRPr="005E6068">
        <w:rPr>
          <w:rFonts w:cs="Times New Roman PS"/>
          <w:noProof w:val="0"/>
        </w:rPr>
        <w:t>, the point holds that the adoption of weak incentives generally would seem to run counter to interest, particularly as contrasted with the adoption of strong WPS incentives with little or no RPE.</w:t>
      </w:r>
    </w:p>
    <w:p w14:paraId="2975A7E4" w14:textId="77777777" w:rsidR="00E847CF" w:rsidRPr="005E6068" w:rsidRDefault="00247A8B" w:rsidP="00D97953">
      <w:pPr>
        <w:pStyle w:val="SubHead3"/>
      </w:pPr>
      <w:bookmarkStart w:id="90" w:name="_Toc16064717"/>
      <w:bookmarkStart w:id="91" w:name="_Toc23780675"/>
      <w:r w:rsidRPr="005E6068">
        <w:t>2.</w:t>
      </w:r>
      <w:r w:rsidRPr="005E6068">
        <w:tab/>
      </w:r>
      <w:r w:rsidRPr="00D97953">
        <w:t>Executive</w:t>
      </w:r>
      <w:r w:rsidRPr="005E6068">
        <w:t xml:space="preserve"> WPS I</w:t>
      </w:r>
      <w:r w:rsidR="00900964" w:rsidRPr="005E6068">
        <w:t>s Difficult to Adjust o</w:t>
      </w:r>
      <w:r w:rsidR="00E847CF" w:rsidRPr="005E6068">
        <w:t>ver the Short to Medium Term</w:t>
      </w:r>
      <w:bookmarkEnd w:id="90"/>
      <w:bookmarkEnd w:id="91"/>
    </w:p>
    <w:p w14:paraId="21B6A04F" w14:textId="30D36BE5" w:rsidR="00E847CF" w:rsidRPr="005E6068" w:rsidRDefault="00E847CF" w:rsidP="001B39BE">
      <w:pPr>
        <w:pStyle w:val="Document"/>
        <w:rPr>
          <w:rFonts w:cs="Times New Roman PS"/>
          <w:noProof w:val="0"/>
        </w:rPr>
      </w:pPr>
      <w:r w:rsidRPr="005E6068">
        <w:rPr>
          <w:rFonts w:cs="Times New Roman PS"/>
          <w:noProof w:val="0"/>
        </w:rPr>
        <w:t>Perhaps because it is difficult to envision common owners actively advocating for weak incentives, AEGS suggest that their results may be explained by common owners remaining passive while blockholders in industries that lack heavy common ownership aggressively pursue high-powered incentives.</w:t>
      </w:r>
      <w:r w:rsidRPr="00F155BE">
        <w:rPr>
          <w:rStyle w:val="NoterefInText"/>
        </w:rPr>
        <w:footnoteReference w:id="150"/>
      </w:r>
      <w:r w:rsidR="00DF0A04" w:rsidRPr="005E6068">
        <w:rPr>
          <w:rFonts w:cs="Times New Roman PS"/>
          <w:noProof w:val="0"/>
        </w:rPr>
        <w:t xml:space="preserve"> </w:t>
      </w:r>
      <w:r w:rsidRPr="005E6068">
        <w:rPr>
          <w:rFonts w:cs="Times New Roman PS"/>
          <w:noProof w:val="0"/>
        </w:rPr>
        <w:t>They do not directly test for the presence or absence of large</w:t>
      </w:r>
      <w:r w:rsidR="005E6068">
        <w:rPr>
          <w:rFonts w:cs="Times New Roman PS"/>
          <w:noProof w:val="0"/>
        </w:rPr>
        <w:t>,</w:t>
      </w:r>
      <w:r w:rsidRPr="005E6068">
        <w:rPr>
          <w:rFonts w:cs="Times New Roman PS"/>
          <w:noProof w:val="0"/>
        </w:rPr>
        <w:t xml:space="preserve"> unconflicted blockholders, but this proposed mechanism is consistent with both their primary findings and the findings of an analysis of a natural experiment.</w:t>
      </w:r>
      <w:r w:rsidR="00A45B47" w:rsidRPr="00F155BE">
        <w:rPr>
          <w:rStyle w:val="NoterefInText"/>
        </w:rPr>
        <w:footnoteReference w:id="151"/>
      </w:r>
      <w:r w:rsidR="00DF0A04" w:rsidRPr="005E6068">
        <w:rPr>
          <w:rFonts w:cs="Times New Roman PS"/>
          <w:noProof w:val="0"/>
        </w:rPr>
        <w:t xml:space="preserve"> </w:t>
      </w:r>
      <w:r w:rsidRPr="005E6068">
        <w:rPr>
          <w:rFonts w:cs="Times New Roman PS"/>
          <w:noProof w:val="0"/>
        </w:rPr>
        <w:t xml:space="preserve">In 2009, BlackRock acquired </w:t>
      </w:r>
      <w:r w:rsidR="00886FA6">
        <w:rPr>
          <w:rFonts w:cs="Times New Roman PS"/>
          <w:noProof w:val="0"/>
        </w:rPr>
        <w:t>BGI</w:t>
      </w:r>
      <w:r w:rsidRPr="005E6068">
        <w:rPr>
          <w:rFonts w:cs="Times New Roman PS"/>
          <w:noProof w:val="0"/>
        </w:rPr>
        <w:t>, combining the investment portfolios of the sixth largest (BlackRock) and the largest (BGI) asset managers at the time and increasing the amount of common</w:t>
      </w:r>
      <w:r w:rsidR="00774B49">
        <w:rPr>
          <w:rFonts w:cs="Times New Roman PS"/>
          <w:noProof w:val="0"/>
        </w:rPr>
        <w:t xml:space="preserve"> </w:t>
      </w:r>
      <w:r w:rsidRPr="005E6068">
        <w:rPr>
          <w:rFonts w:cs="Times New Roman PS"/>
          <w:noProof w:val="0"/>
        </w:rPr>
        <w:t>ownership within a number of industries.</w:t>
      </w:r>
      <w:r w:rsidRPr="00F155BE">
        <w:rPr>
          <w:rStyle w:val="NoterefInText"/>
        </w:rPr>
        <w:footnoteReference w:id="152"/>
      </w:r>
      <w:r w:rsidR="00774B49">
        <w:rPr>
          <w:rFonts w:cs="Times New Roman PS"/>
          <w:noProof w:val="0"/>
        </w:rPr>
        <w:t xml:space="preserve"> </w:t>
      </w:r>
      <w:r w:rsidRPr="005E6068">
        <w:rPr>
          <w:rFonts w:cs="Times New Roman PS"/>
          <w:noProof w:val="0"/>
        </w:rPr>
        <w:t>AEGS</w:t>
      </w:r>
      <w:r w:rsidR="009A645E">
        <w:rPr>
          <w:rFonts w:cs="Times New Roman PS"/>
          <w:noProof w:val="0"/>
        </w:rPr>
        <w:t>’</w:t>
      </w:r>
      <w:r w:rsidRPr="005E6068">
        <w:rPr>
          <w:rFonts w:cs="Times New Roman PS"/>
          <w:noProof w:val="0"/>
        </w:rPr>
        <w:t>s difference</w:t>
      </w:r>
      <w:r w:rsidR="00431189">
        <w:rPr>
          <w:rFonts w:cs="Times New Roman PS"/>
          <w:noProof w:val="0"/>
        </w:rPr>
        <w:t>-</w:t>
      </w:r>
      <w:r w:rsidRPr="005E6068">
        <w:rPr>
          <w:rFonts w:cs="Times New Roman PS"/>
          <w:noProof w:val="0"/>
        </w:rPr>
        <w:t>in</w:t>
      </w:r>
      <w:r w:rsidR="00431189">
        <w:rPr>
          <w:rFonts w:cs="Times New Roman PS"/>
          <w:noProof w:val="0"/>
        </w:rPr>
        <w:t>-</w:t>
      </w:r>
      <w:r w:rsidRPr="005E6068">
        <w:rPr>
          <w:rFonts w:cs="Times New Roman PS"/>
          <w:noProof w:val="0"/>
        </w:rPr>
        <w:t xml:space="preserve">differences analysis compares executive WPS in industries that experienced a large increase in common ownership as a result of </w:t>
      </w:r>
      <w:r w:rsidRPr="005E6068">
        <w:rPr>
          <w:rFonts w:cs="Times New Roman PS"/>
          <w:noProof w:val="0"/>
        </w:rPr>
        <w:lastRenderedPageBreak/>
        <w:t>the BlackRock/BGI merger with WPS in industries in which common ownership was less affected by the merger.</w:t>
      </w:r>
      <w:r w:rsidR="00DF0A04" w:rsidRPr="005E6068">
        <w:rPr>
          <w:rFonts w:cs="Times New Roman PS"/>
          <w:noProof w:val="0"/>
        </w:rPr>
        <w:t xml:space="preserve"> </w:t>
      </w:r>
      <w:r w:rsidRPr="005E6068">
        <w:rPr>
          <w:rFonts w:cs="Times New Roman PS"/>
          <w:noProof w:val="0"/>
        </w:rPr>
        <w:t>They find that</w:t>
      </w:r>
      <w:r w:rsidR="00AD6BA2">
        <w:rPr>
          <w:rFonts w:cs="Times New Roman PS"/>
          <w:noProof w:val="0"/>
        </w:rPr>
        <w:t>,</w:t>
      </w:r>
      <w:r w:rsidRPr="005E6068">
        <w:rPr>
          <w:rFonts w:cs="Times New Roman PS"/>
          <w:noProof w:val="0"/>
        </w:rPr>
        <w:t xml:space="preserve"> in industries more greatly affected by the merger, WPS was relatively lower in the three years following the merger, suggesting that common</w:t>
      </w:r>
      <w:r w:rsidR="0053337A">
        <w:rPr>
          <w:rFonts w:cs="Times New Roman PS"/>
          <w:noProof w:val="0"/>
        </w:rPr>
        <w:t xml:space="preserve"> </w:t>
      </w:r>
      <w:r w:rsidRPr="005E6068">
        <w:rPr>
          <w:rFonts w:cs="Times New Roman PS"/>
          <w:noProof w:val="0"/>
        </w:rPr>
        <w:t>ownership levels affect pay design.</w:t>
      </w:r>
      <w:r w:rsidRPr="00F155BE">
        <w:rPr>
          <w:rStyle w:val="NoterefInText"/>
        </w:rPr>
        <w:footnoteReference w:id="153"/>
      </w:r>
    </w:p>
    <w:p w14:paraId="7630BF4D" w14:textId="6DF20FDC" w:rsidR="00E847CF" w:rsidRPr="005E6068" w:rsidRDefault="00E847CF" w:rsidP="001B39BE">
      <w:pPr>
        <w:pStyle w:val="Document"/>
        <w:rPr>
          <w:rFonts w:cs="Times New Roman PS"/>
          <w:noProof w:val="0"/>
        </w:rPr>
      </w:pPr>
      <w:r w:rsidRPr="005E6068">
        <w:rPr>
          <w:rFonts w:cs="Times New Roman PS"/>
          <w:noProof w:val="0"/>
        </w:rPr>
        <w:t>There are two possible, non</w:t>
      </w:r>
      <w:r w:rsidR="00674B72">
        <w:rPr>
          <w:rFonts w:cs="Times New Roman PS"/>
          <w:noProof w:val="0"/>
        </w:rPr>
        <w:t>-</w:t>
      </w:r>
      <w:r w:rsidRPr="005E6068">
        <w:rPr>
          <w:rFonts w:cs="Times New Roman PS"/>
          <w:noProof w:val="0"/>
        </w:rPr>
        <w:t>mutually exclusive explanations for the BlackRock/BGI results</w:t>
      </w:r>
      <w:r w:rsidR="00774B49">
        <w:rPr>
          <w:rFonts w:cs="Times New Roman PS"/>
          <w:noProof w:val="0"/>
        </w:rPr>
        <w:t>:</w:t>
      </w:r>
      <w:r w:rsidR="00DF0A04" w:rsidRPr="005E6068">
        <w:rPr>
          <w:rFonts w:cs="Times New Roman PS"/>
          <w:noProof w:val="0"/>
        </w:rPr>
        <w:t xml:space="preserve"> </w:t>
      </w:r>
      <w:r w:rsidR="00200FB9" w:rsidRPr="005E6068">
        <w:rPr>
          <w:rFonts w:cs="Times New Roman PS"/>
          <w:noProof w:val="0"/>
        </w:rPr>
        <w:t>First, c</w:t>
      </w:r>
      <w:r w:rsidRPr="005E6068">
        <w:rPr>
          <w:rFonts w:cs="Times New Roman PS"/>
          <w:noProof w:val="0"/>
        </w:rPr>
        <w:t>ompanies in industries that experienced large increases in common ownership might have reduced executive WPS while WPS in other industries remained unchanged</w:t>
      </w:r>
      <w:r w:rsidR="00A45B47" w:rsidRPr="005E6068">
        <w:rPr>
          <w:rFonts w:cs="Times New Roman PS"/>
          <w:noProof w:val="0"/>
        </w:rPr>
        <w:t>.</w:t>
      </w:r>
      <w:r w:rsidRPr="005E6068">
        <w:rPr>
          <w:rFonts w:cs="Times New Roman PS"/>
          <w:noProof w:val="0"/>
        </w:rPr>
        <w:t xml:space="preserve"> </w:t>
      </w:r>
      <w:r w:rsidR="005E6068" w:rsidRPr="005E6068">
        <w:rPr>
          <w:rFonts w:cs="Times New Roman PS"/>
          <w:noProof w:val="0"/>
        </w:rPr>
        <w:t xml:space="preserve">Second, </w:t>
      </w:r>
      <w:r w:rsidR="00003AD9">
        <w:rPr>
          <w:rFonts w:cs="Times New Roman PS"/>
          <w:noProof w:val="0"/>
        </w:rPr>
        <w:t xml:space="preserve">these </w:t>
      </w:r>
      <w:r w:rsidR="005E6068" w:rsidRPr="005E6068">
        <w:rPr>
          <w:rFonts w:cs="Times New Roman PS"/>
          <w:noProof w:val="0"/>
        </w:rPr>
        <w:t>companies</w:t>
      </w:r>
      <w:r w:rsidRPr="005E6068">
        <w:rPr>
          <w:rFonts w:cs="Times New Roman PS"/>
          <w:noProof w:val="0"/>
        </w:rPr>
        <w:t xml:space="preserve"> might have maintained current levels of WPS while companies in other industries increased WPS.</w:t>
      </w:r>
      <w:r w:rsidR="00DF0A04" w:rsidRPr="005E6068">
        <w:rPr>
          <w:rFonts w:cs="Times New Roman PS"/>
          <w:noProof w:val="0"/>
        </w:rPr>
        <w:t xml:space="preserve"> </w:t>
      </w:r>
      <w:r w:rsidRPr="005E6068">
        <w:rPr>
          <w:rFonts w:cs="Times New Roman PS"/>
          <w:noProof w:val="0"/>
        </w:rPr>
        <w:t xml:space="preserve">The latter </w:t>
      </w:r>
      <w:r w:rsidR="00B81A13">
        <w:rPr>
          <w:rFonts w:cs="Times New Roman PS"/>
          <w:noProof w:val="0"/>
        </w:rPr>
        <w:t xml:space="preserve">explanation </w:t>
      </w:r>
      <w:r w:rsidRPr="005E6068">
        <w:rPr>
          <w:rFonts w:cs="Times New Roman PS"/>
          <w:noProof w:val="0"/>
        </w:rPr>
        <w:t>is consistent with AEGS</w:t>
      </w:r>
      <w:r w:rsidR="009A645E">
        <w:rPr>
          <w:rFonts w:cs="Times New Roman PS"/>
          <w:noProof w:val="0"/>
        </w:rPr>
        <w:t>’</w:t>
      </w:r>
      <w:r w:rsidRPr="005E6068">
        <w:rPr>
          <w:rFonts w:cs="Times New Roman PS"/>
          <w:noProof w:val="0"/>
        </w:rPr>
        <w:t>s suggested mechanism, but neither explanation seems likely, particularly given the three-year period of analysis pre- and post-merger.</w:t>
      </w:r>
    </w:p>
    <w:p w14:paraId="4727ED8D" w14:textId="77777777" w:rsidR="00E847CF" w:rsidRPr="005E6068" w:rsidRDefault="00E847CF" w:rsidP="001B39BE">
      <w:pPr>
        <w:pStyle w:val="Document"/>
        <w:rPr>
          <w:rFonts w:cs="Times New Roman PS"/>
          <w:noProof w:val="0"/>
        </w:rPr>
      </w:pPr>
      <w:r w:rsidRPr="005E6068">
        <w:rPr>
          <w:rFonts w:cs="Times New Roman PS"/>
          <w:noProof w:val="0"/>
        </w:rPr>
        <w:t>It will be helpful to consider how companies actually create and manage wealth-based executive incentives.</w:t>
      </w:r>
      <w:r w:rsidR="00A45B47" w:rsidRPr="005E6068">
        <w:rPr>
          <w:rFonts w:cs="Times New Roman PS"/>
          <w:noProof w:val="0"/>
        </w:rPr>
        <w:t xml:space="preserve"> </w:t>
      </w:r>
      <w:r w:rsidRPr="005E6068">
        <w:rPr>
          <w:rFonts w:cs="Times New Roman PS"/>
          <w:noProof w:val="0"/>
        </w:rPr>
        <w:t xml:space="preserve">It will be readily apparent that while companies undoubtedly manage these incentives over the long term, they make little effort and have little scope to do so over the short to medium term. </w:t>
      </w:r>
    </w:p>
    <w:p w14:paraId="61D1085F" w14:textId="7AC3E569" w:rsidR="00E847CF" w:rsidRPr="005E6068" w:rsidRDefault="00E847CF" w:rsidP="001B39BE">
      <w:pPr>
        <w:pStyle w:val="Document"/>
        <w:rPr>
          <w:rFonts w:cs="Times New Roman PS"/>
          <w:noProof w:val="0"/>
        </w:rPr>
      </w:pPr>
      <w:r w:rsidRPr="005E6068">
        <w:rPr>
          <w:rFonts w:cs="Times New Roman PS"/>
          <w:noProof w:val="0"/>
        </w:rPr>
        <w:t>WPS is primarily a function of shares and options held by an executive, including equity held contingently upon satisfaction of vesting conditions and shares and options held outright.</w:t>
      </w:r>
      <w:r w:rsidR="00DF0A04" w:rsidRPr="005E6068">
        <w:rPr>
          <w:rFonts w:cs="Times New Roman PS"/>
          <w:noProof w:val="0"/>
        </w:rPr>
        <w:t xml:space="preserve"> </w:t>
      </w:r>
      <w:r w:rsidRPr="005E6068">
        <w:rPr>
          <w:rFonts w:cs="Times New Roman PS"/>
          <w:noProof w:val="0"/>
        </w:rPr>
        <w:t>Thus, we can think of WPS arising from three sources</w:t>
      </w:r>
      <w:r w:rsidR="002074A8" w:rsidRPr="005E6068">
        <w:rPr>
          <w:rFonts w:ascii="Times New Roman" w:hAnsi="Times New Roman"/>
          <w:noProof w:val="0"/>
          <w:szCs w:val="21"/>
        </w:rPr>
        <w:t>—</w:t>
      </w:r>
      <w:r w:rsidRPr="005E6068">
        <w:rPr>
          <w:rFonts w:cs="Times New Roman PS"/>
          <w:noProof w:val="0"/>
        </w:rPr>
        <w:t>current year compensation, outstanding equity awards from previous years, and ownership of vested shares and options.</w:t>
      </w:r>
      <w:r w:rsidR="00DF0A04" w:rsidRPr="005E6068">
        <w:rPr>
          <w:rFonts w:cs="Times New Roman PS"/>
          <w:noProof w:val="0"/>
        </w:rPr>
        <w:t xml:space="preserve"> </w:t>
      </w:r>
      <w:r w:rsidRPr="005E6068">
        <w:rPr>
          <w:rFonts w:cs="Times New Roman PS"/>
          <w:noProof w:val="0"/>
        </w:rPr>
        <w:t>The extent to which companies can and do adjust WPS differs among these sources.</w:t>
      </w:r>
    </w:p>
    <w:p w14:paraId="2B3B0FA9" w14:textId="39CE623D" w:rsidR="00E847CF" w:rsidRPr="005E6068" w:rsidRDefault="00E847CF" w:rsidP="001B39BE">
      <w:pPr>
        <w:pStyle w:val="SubHead4"/>
        <w:widowControl/>
        <w:numPr>
          <w:ilvl w:val="0"/>
          <w:numId w:val="16"/>
        </w:numPr>
      </w:pPr>
      <w:bookmarkStart w:id="92" w:name="_Toc23780676"/>
      <w:r w:rsidRPr="005E6068">
        <w:t>Adjusting WPS Through Current Compensation</w:t>
      </w:r>
      <w:bookmarkEnd w:id="92"/>
    </w:p>
    <w:p w14:paraId="13D4967F" w14:textId="0D32059B" w:rsidR="00E847CF" w:rsidRPr="005E6068" w:rsidRDefault="00E847CF" w:rsidP="001B39BE">
      <w:pPr>
        <w:pStyle w:val="Document"/>
        <w:rPr>
          <w:rFonts w:cs="Times New Roman PS"/>
          <w:noProof w:val="0"/>
        </w:rPr>
      </w:pPr>
      <w:r w:rsidRPr="005E6068">
        <w:rPr>
          <w:rFonts w:cs="Times New Roman PS"/>
          <w:noProof w:val="0"/>
        </w:rPr>
        <w:t>Companies could most readily adjust WPS by adjusting the terms of current compensation.</w:t>
      </w:r>
      <w:r w:rsidR="00DF0A04" w:rsidRPr="005E6068">
        <w:rPr>
          <w:rFonts w:cs="Times New Roman PS"/>
          <w:noProof w:val="0"/>
        </w:rPr>
        <w:t xml:space="preserve"> </w:t>
      </w:r>
      <w:r w:rsidRPr="005E6068">
        <w:rPr>
          <w:rFonts w:cs="Times New Roman PS"/>
          <w:noProof w:val="0"/>
        </w:rPr>
        <w:t>They could do so without affecting total pay by shifting compensation between channels that are not sensitive to company performance (i.e., salary) and channels that are sensitive (</w:t>
      </w:r>
      <w:r w:rsidR="00754F72">
        <w:rPr>
          <w:rFonts w:cs="Times New Roman PS"/>
          <w:noProof w:val="0"/>
        </w:rPr>
        <w:t>i.e.,</w:t>
      </w:r>
      <w:r w:rsidR="00D97953">
        <w:rPr>
          <w:rFonts w:cs="Times New Roman PS"/>
          <w:noProof w:val="0"/>
        </w:rPr>
        <w:t xml:space="preserve"> </w:t>
      </w:r>
      <w:r w:rsidRPr="005E6068">
        <w:rPr>
          <w:rFonts w:cs="Times New Roman PS"/>
          <w:noProof w:val="0"/>
        </w:rPr>
        <w:t>annual bonuses and equity-based pay). However, companies traditionally have not varied salary significantly from year to year.</w:t>
      </w:r>
      <w:r w:rsidR="00DF0A04" w:rsidRPr="005E6068">
        <w:rPr>
          <w:rFonts w:cs="Times New Roman PS"/>
          <w:noProof w:val="0"/>
        </w:rPr>
        <w:t xml:space="preserve"> </w:t>
      </w:r>
      <w:r w:rsidRPr="005E6068">
        <w:rPr>
          <w:rFonts w:cs="Times New Roman PS"/>
          <w:noProof w:val="0"/>
        </w:rPr>
        <w:t>We observe significant variation from year to year in the type and amount of equity-based pay issued to executives (and thus total pay), but we do not commonly observe tradeoffs between salary and equity-based pay.</w:t>
      </w:r>
      <w:r w:rsidR="00DF0A04" w:rsidRPr="005E6068">
        <w:rPr>
          <w:rFonts w:cs="Times New Roman PS"/>
          <w:noProof w:val="0"/>
        </w:rPr>
        <w:t xml:space="preserve"> </w:t>
      </w:r>
      <w:r w:rsidRPr="005E6068">
        <w:rPr>
          <w:rFonts w:cs="Times New Roman PS"/>
          <w:noProof w:val="0"/>
        </w:rPr>
        <w:t>Companies could also adjust WPS by shortening or lengthening the vesting periods</w:t>
      </w:r>
      <w:r w:rsidR="009B4DC2" w:rsidRPr="005E6068">
        <w:rPr>
          <w:rFonts w:cs="Times New Roman PS"/>
          <w:noProof w:val="0"/>
        </w:rPr>
        <w:t>—</w:t>
      </w:r>
      <w:r w:rsidRPr="005E6068">
        <w:rPr>
          <w:rFonts w:cs="Times New Roman PS"/>
          <w:noProof w:val="0"/>
        </w:rPr>
        <w:t>essentially the holding periods</w:t>
      </w:r>
      <w:r w:rsidR="009B4DC2" w:rsidRPr="005E6068">
        <w:rPr>
          <w:rFonts w:ascii="Times New Roman" w:hAnsi="Times New Roman"/>
          <w:noProof w:val="0"/>
          <w:szCs w:val="21"/>
        </w:rPr>
        <w:t>—</w:t>
      </w:r>
      <w:r w:rsidRPr="005E6068">
        <w:rPr>
          <w:rFonts w:cs="Times New Roman PS"/>
          <w:noProof w:val="0"/>
        </w:rPr>
        <w:t>for various equity awards, but these vesting periods tend to be both uniform and sticky.</w:t>
      </w:r>
    </w:p>
    <w:p w14:paraId="5D9E4048" w14:textId="05D03D30" w:rsidR="00E847CF" w:rsidRPr="005E6068" w:rsidRDefault="00E847CF" w:rsidP="001B39BE">
      <w:pPr>
        <w:pStyle w:val="Document"/>
        <w:rPr>
          <w:rFonts w:cs="Times New Roman PS"/>
          <w:noProof w:val="0"/>
        </w:rPr>
      </w:pPr>
      <w:r w:rsidRPr="005E6068">
        <w:rPr>
          <w:rFonts w:cs="Times New Roman PS"/>
          <w:noProof w:val="0"/>
        </w:rPr>
        <w:t>Let us begin by considering why companies do not tend to tweak the allocation of pay between salary and performance</w:t>
      </w:r>
      <w:r w:rsidR="00C53A51">
        <w:rPr>
          <w:rFonts w:cs="Times New Roman PS"/>
          <w:noProof w:val="0"/>
        </w:rPr>
        <w:t>-</w:t>
      </w:r>
      <w:r w:rsidRPr="005E6068">
        <w:rPr>
          <w:rFonts w:cs="Times New Roman PS"/>
          <w:noProof w:val="0"/>
        </w:rPr>
        <w:t>sensitive pay channels.</w:t>
      </w:r>
      <w:r w:rsidR="00DF0A04" w:rsidRPr="005E6068">
        <w:rPr>
          <w:rFonts w:cs="Times New Roman PS"/>
          <w:noProof w:val="0"/>
        </w:rPr>
        <w:t xml:space="preserve"> </w:t>
      </w:r>
      <w:r w:rsidRPr="005E6068">
        <w:rPr>
          <w:rFonts w:cs="Times New Roman PS"/>
          <w:noProof w:val="0"/>
        </w:rPr>
        <w:t>One reason is tax.</w:t>
      </w:r>
      <w:r w:rsidR="00DF0A04" w:rsidRPr="005E6068">
        <w:rPr>
          <w:rFonts w:cs="Times New Roman PS"/>
          <w:noProof w:val="0"/>
        </w:rPr>
        <w:t xml:space="preserve"> </w:t>
      </w:r>
      <w:r w:rsidRPr="005E6068">
        <w:rPr>
          <w:rFonts w:cs="Times New Roman PS"/>
          <w:noProof w:val="0"/>
        </w:rPr>
        <w:t>In 1992, Congress limited the deduction for senior executive pay to $1 million per executive per year</w:t>
      </w:r>
      <w:r w:rsidR="00674B72">
        <w:rPr>
          <w:rFonts w:cs="Times New Roman PS"/>
          <w:noProof w:val="0"/>
        </w:rPr>
        <w:t>,</w:t>
      </w:r>
      <w:r w:rsidRPr="005E6068">
        <w:rPr>
          <w:rFonts w:cs="Times New Roman PS"/>
          <w:noProof w:val="0"/>
        </w:rPr>
        <w:t xml:space="preserve"> but created an exception for performance-based pay that was sufficiently broad so as to include properly designed annual </w:t>
      </w:r>
      <w:r w:rsidRPr="005E6068">
        <w:rPr>
          <w:rFonts w:cs="Times New Roman PS"/>
          <w:noProof w:val="0"/>
        </w:rPr>
        <w:lastRenderedPageBreak/>
        <w:t xml:space="preserve">bonuses and certain </w:t>
      </w:r>
      <w:r w:rsidR="00FC790A" w:rsidRPr="005E6068">
        <w:rPr>
          <w:rFonts w:cs="Times New Roman PS"/>
          <w:noProof w:val="0"/>
        </w:rPr>
        <w:t>equity</w:t>
      </w:r>
      <w:r w:rsidR="00FC790A">
        <w:rPr>
          <w:rFonts w:cs="Times New Roman PS"/>
          <w:noProof w:val="0"/>
        </w:rPr>
        <w:t>-</w:t>
      </w:r>
      <w:r w:rsidRPr="005E6068">
        <w:rPr>
          <w:rFonts w:cs="Times New Roman PS"/>
          <w:noProof w:val="0"/>
        </w:rPr>
        <w:t>based pay.</w:t>
      </w:r>
      <w:r w:rsidRPr="00F155BE">
        <w:rPr>
          <w:rStyle w:val="NoterefInText"/>
        </w:rPr>
        <w:footnoteReference w:id="154"/>
      </w:r>
      <w:r w:rsidR="00DF0A04" w:rsidRPr="005E6068">
        <w:rPr>
          <w:rFonts w:cs="Times New Roman PS"/>
          <w:noProof w:val="0"/>
        </w:rPr>
        <w:t xml:space="preserve"> </w:t>
      </w:r>
      <w:r w:rsidRPr="005E6068">
        <w:rPr>
          <w:rFonts w:cs="Times New Roman PS"/>
          <w:noProof w:val="0"/>
        </w:rPr>
        <w:t>But salary in excess of $1 million per year was clearly not deductible, and for years many companies limited salaries to $1 million to avoid delivering nondeductible compensation dollars.</w:t>
      </w:r>
      <w:r w:rsidRPr="00F155BE">
        <w:rPr>
          <w:rStyle w:val="NoterefInText"/>
        </w:rPr>
        <w:footnoteReference w:id="155"/>
      </w:r>
      <w:r w:rsidR="00DF0A04" w:rsidRPr="005E6068">
        <w:rPr>
          <w:rFonts w:cs="Times New Roman PS"/>
          <w:noProof w:val="0"/>
        </w:rPr>
        <w:t xml:space="preserve"> </w:t>
      </w:r>
      <w:r w:rsidRPr="005E6068">
        <w:rPr>
          <w:rFonts w:cs="Times New Roman PS"/>
          <w:noProof w:val="0"/>
        </w:rPr>
        <w:t xml:space="preserve">On the other hand, companies that paid senior executives salaries less than $1 million per year prior to 1993 tended to raise salaries to reflect the new </w:t>
      </w:r>
      <w:r w:rsidR="009A645E">
        <w:rPr>
          <w:rFonts w:cs="Times New Roman PS"/>
          <w:noProof w:val="0"/>
        </w:rPr>
        <w:t>“</w:t>
      </w:r>
      <w:r w:rsidRPr="005E6068">
        <w:rPr>
          <w:rFonts w:cs="Times New Roman PS"/>
          <w:noProof w:val="0"/>
        </w:rPr>
        <w:t>cap.</w:t>
      </w:r>
      <w:r w:rsidR="009A645E">
        <w:rPr>
          <w:rFonts w:cs="Times New Roman PS"/>
          <w:noProof w:val="0"/>
        </w:rPr>
        <w:t>”</w:t>
      </w:r>
      <w:r w:rsidRPr="00F155BE">
        <w:rPr>
          <w:rStyle w:val="NoterefInText"/>
        </w:rPr>
        <w:footnoteReference w:id="156"/>
      </w:r>
      <w:r w:rsidR="00DF0A04" w:rsidRPr="005E6068">
        <w:rPr>
          <w:rFonts w:cs="Times New Roman PS"/>
          <w:noProof w:val="0"/>
        </w:rPr>
        <w:t xml:space="preserve"> </w:t>
      </w:r>
      <w:r w:rsidRPr="005E6068">
        <w:rPr>
          <w:rFonts w:cs="Times New Roman PS"/>
          <w:noProof w:val="0"/>
        </w:rPr>
        <w:t>So the tax rule tended to create both a ceiling and a floor for senior executive salaries and to inhibit variability.</w:t>
      </w:r>
      <w:r w:rsidR="00DF0A04" w:rsidRPr="005E6068">
        <w:rPr>
          <w:rFonts w:cs="Times New Roman PS"/>
          <w:noProof w:val="0"/>
        </w:rPr>
        <w:t xml:space="preserve"> </w:t>
      </w:r>
    </w:p>
    <w:p w14:paraId="1B14E233" w14:textId="046207FC" w:rsidR="00E847CF" w:rsidRPr="005E6068" w:rsidRDefault="00E847CF" w:rsidP="001B39BE">
      <w:pPr>
        <w:pStyle w:val="Document"/>
        <w:rPr>
          <w:rFonts w:cs="Times New Roman PS"/>
          <w:noProof w:val="0"/>
        </w:rPr>
      </w:pPr>
      <w:r w:rsidRPr="005E6068">
        <w:rPr>
          <w:rFonts w:cs="Times New Roman PS"/>
          <w:noProof w:val="0"/>
        </w:rPr>
        <w:t>Another reason that we may not observe tradeoffs between salary and equity-based pay is that these channels of compensation are thought to serve very different purposes.</w:t>
      </w:r>
      <w:r w:rsidR="00DF0A04" w:rsidRPr="005E6068">
        <w:rPr>
          <w:rFonts w:cs="Times New Roman PS"/>
          <w:noProof w:val="0"/>
        </w:rPr>
        <w:t xml:space="preserve"> </w:t>
      </w:r>
      <w:r w:rsidRPr="005E6068">
        <w:rPr>
          <w:rFonts w:cs="Times New Roman PS"/>
          <w:noProof w:val="0"/>
        </w:rPr>
        <w:t>Salary is generally viewed as providing basic financial security, while equity-based pay is intended to incentivize risk taking, reward success, and enhance retention.</w:t>
      </w:r>
      <w:r w:rsidRPr="00F155BE">
        <w:rPr>
          <w:rStyle w:val="NoterefInText"/>
        </w:rPr>
        <w:footnoteReference w:id="157"/>
      </w:r>
      <w:r w:rsidR="00DF0A04" w:rsidRPr="005E6068">
        <w:rPr>
          <w:rFonts w:cs="Times New Roman PS"/>
          <w:noProof w:val="0"/>
        </w:rPr>
        <w:t xml:space="preserve"> </w:t>
      </w:r>
      <w:r w:rsidRPr="005E6068">
        <w:rPr>
          <w:rFonts w:cs="Times New Roman PS"/>
          <w:noProof w:val="0"/>
        </w:rPr>
        <w:t>Whatever the reason, the empirical evidence suggests that equity compensation grants are not fully offset by reductions in base pay.</w:t>
      </w:r>
      <w:r w:rsidRPr="00F155BE">
        <w:rPr>
          <w:rStyle w:val="NoterefInText"/>
        </w:rPr>
        <w:footnoteReference w:id="158"/>
      </w:r>
      <w:r w:rsidR="00DF0A04" w:rsidRPr="005E6068">
        <w:rPr>
          <w:rFonts w:cs="Times New Roman PS"/>
          <w:noProof w:val="0"/>
        </w:rPr>
        <w:t xml:space="preserve"> </w:t>
      </w:r>
      <w:r w:rsidRPr="005E6068">
        <w:rPr>
          <w:rFonts w:cs="Times New Roman PS"/>
          <w:noProof w:val="0"/>
        </w:rPr>
        <w:t>So while companies could adjust the sensitivity of current compensation to company performance year by year by shifting compensation dollars between salary and equity-based pay, there is no evidence that they do so.</w:t>
      </w:r>
      <w:r w:rsidR="00DF0A04" w:rsidRPr="005E6068">
        <w:rPr>
          <w:rFonts w:cs="Times New Roman PS"/>
          <w:noProof w:val="0"/>
        </w:rPr>
        <w:t xml:space="preserve"> </w:t>
      </w:r>
      <w:r w:rsidRPr="005E6068">
        <w:rPr>
          <w:rFonts w:cs="Times New Roman PS"/>
          <w:noProof w:val="0"/>
        </w:rPr>
        <w:t>Of course, companies can and do adjust WPS when they increase or decrease equity pay grants, but obviously this affects an executive</w:t>
      </w:r>
      <w:r w:rsidR="009A645E">
        <w:rPr>
          <w:rFonts w:cs="Times New Roman PS"/>
          <w:noProof w:val="0"/>
        </w:rPr>
        <w:t>’</w:t>
      </w:r>
      <w:r w:rsidRPr="005E6068">
        <w:rPr>
          <w:rFonts w:cs="Times New Roman PS"/>
          <w:noProof w:val="0"/>
        </w:rPr>
        <w:t>s total compensation as well as WPS.</w:t>
      </w:r>
    </w:p>
    <w:p w14:paraId="0B36826A" w14:textId="64B7A3FA" w:rsidR="00E847CF" w:rsidRPr="005E6068" w:rsidRDefault="00E847CF" w:rsidP="001B39BE">
      <w:pPr>
        <w:pStyle w:val="Document"/>
        <w:rPr>
          <w:rFonts w:cs="Times New Roman PS"/>
          <w:noProof w:val="0"/>
        </w:rPr>
      </w:pPr>
      <w:r w:rsidRPr="005E6068">
        <w:rPr>
          <w:rFonts w:cs="Times New Roman PS"/>
          <w:noProof w:val="0"/>
        </w:rPr>
        <w:t>Companies also could adjust the WPS associated with current compensation by changing the terms</w:t>
      </w:r>
      <w:r w:rsidR="002C3B97">
        <w:rPr>
          <w:rFonts w:cs="Times New Roman PS"/>
          <w:noProof w:val="0"/>
        </w:rPr>
        <w:t>—</w:t>
      </w:r>
      <w:r w:rsidRPr="005E6068">
        <w:rPr>
          <w:rFonts w:cs="Times New Roman PS"/>
          <w:noProof w:val="0"/>
        </w:rPr>
        <w:t>most directly the vesting terms</w:t>
      </w:r>
      <w:r w:rsidR="002C3B97">
        <w:rPr>
          <w:rFonts w:cs="Times New Roman PS"/>
          <w:noProof w:val="0"/>
        </w:rPr>
        <w:t>—</w:t>
      </w:r>
      <w:r w:rsidRPr="005E6068">
        <w:rPr>
          <w:rFonts w:cs="Times New Roman PS"/>
          <w:noProof w:val="0"/>
        </w:rPr>
        <w:t>of equity-based pay.</w:t>
      </w:r>
      <w:r w:rsidR="009263B8" w:rsidRPr="005E6068">
        <w:rPr>
          <w:rFonts w:cs="Times New Roman PS"/>
          <w:noProof w:val="0"/>
        </w:rPr>
        <w:t xml:space="preserve"> </w:t>
      </w:r>
      <w:r w:rsidRPr="005E6068">
        <w:rPr>
          <w:rFonts w:cs="Times New Roman PS"/>
          <w:noProof w:val="0"/>
        </w:rPr>
        <w:lastRenderedPageBreak/>
        <w:t>Most public companies make equity grants to executives on an annual basis.</w:t>
      </w:r>
      <w:bookmarkStart w:id="93" w:name="_Ref21089116"/>
      <w:r w:rsidR="009263B8" w:rsidRPr="00F155BE">
        <w:rPr>
          <w:rStyle w:val="NoterefInText"/>
        </w:rPr>
        <w:footnoteReference w:id="159"/>
      </w:r>
      <w:bookmarkEnd w:id="93"/>
      <w:r w:rsidR="00DF0A04" w:rsidRPr="005E6068">
        <w:rPr>
          <w:rFonts w:cs="Times New Roman PS"/>
          <w:noProof w:val="0"/>
        </w:rPr>
        <w:t xml:space="preserve"> </w:t>
      </w:r>
      <w:r w:rsidRPr="005E6068">
        <w:rPr>
          <w:rFonts w:cs="Times New Roman PS"/>
          <w:noProof w:val="0"/>
        </w:rPr>
        <w:t>Given that executives often dispose of equity-based pay upon vesting,</w:t>
      </w:r>
      <w:r w:rsidRPr="00F155BE">
        <w:rPr>
          <w:rStyle w:val="NoterefInText"/>
        </w:rPr>
        <w:footnoteReference w:id="160"/>
      </w:r>
      <w:r w:rsidRPr="005E6068">
        <w:rPr>
          <w:rFonts w:cs="Times New Roman PS"/>
          <w:noProof w:val="0"/>
        </w:rPr>
        <w:t xml:space="preserve"> equity-based pay that vests in five years creates greater WPS than equity</w:t>
      </w:r>
      <w:r w:rsidR="00102DAC">
        <w:rPr>
          <w:rFonts w:cs="Times New Roman PS"/>
          <w:noProof w:val="0"/>
        </w:rPr>
        <w:t>-based</w:t>
      </w:r>
      <w:r w:rsidRPr="005E6068">
        <w:rPr>
          <w:rFonts w:cs="Times New Roman PS"/>
          <w:noProof w:val="0"/>
        </w:rPr>
        <w:t xml:space="preserve"> pay that vests in three years.</w:t>
      </w:r>
      <w:r w:rsidRPr="00F155BE">
        <w:rPr>
          <w:rStyle w:val="NoterefInText"/>
        </w:rPr>
        <w:footnoteReference w:id="161"/>
      </w:r>
      <w:r w:rsidR="00DF0A04" w:rsidRPr="005E6068">
        <w:rPr>
          <w:rFonts w:cs="Times New Roman PS"/>
          <w:noProof w:val="0"/>
        </w:rPr>
        <w:t xml:space="preserve"> </w:t>
      </w:r>
      <w:r w:rsidRPr="005E6068">
        <w:rPr>
          <w:rFonts w:cs="Times New Roman PS"/>
          <w:noProof w:val="0"/>
        </w:rPr>
        <w:t xml:space="preserve">But again, </w:t>
      </w:r>
      <w:r w:rsidR="00B81A13">
        <w:rPr>
          <w:rFonts w:cs="Times New Roman PS"/>
          <w:noProof w:val="0"/>
        </w:rPr>
        <w:t>we</w:t>
      </w:r>
      <w:r w:rsidR="001B0AD4" w:rsidRPr="005E6068">
        <w:rPr>
          <w:rFonts w:cs="Times New Roman PS"/>
          <w:noProof w:val="0"/>
        </w:rPr>
        <w:t xml:space="preserve"> rarely observe </w:t>
      </w:r>
      <w:r w:rsidRPr="005E6068">
        <w:rPr>
          <w:rFonts w:cs="Times New Roman PS"/>
          <w:noProof w:val="0"/>
        </w:rPr>
        <w:t>year-to-year variation in the vesting terms attached to equity-based pay.</w:t>
      </w:r>
      <w:r w:rsidR="00DF0A04" w:rsidRPr="005E6068">
        <w:rPr>
          <w:rFonts w:cs="Times New Roman PS"/>
          <w:noProof w:val="0"/>
        </w:rPr>
        <w:t xml:space="preserve"> </w:t>
      </w:r>
      <w:r w:rsidRPr="005E6068">
        <w:rPr>
          <w:rFonts w:cs="Times New Roman PS"/>
          <w:noProof w:val="0"/>
        </w:rPr>
        <w:t>When options reigned supreme, these instruments generally vested over a three</w:t>
      </w:r>
      <w:r w:rsidR="00E35E19">
        <w:rPr>
          <w:rFonts w:cs="Times New Roman PS"/>
          <w:noProof w:val="0"/>
        </w:rPr>
        <w:t>-</w:t>
      </w:r>
      <w:r w:rsidRPr="005E6068">
        <w:rPr>
          <w:rFonts w:cs="Times New Roman PS"/>
          <w:noProof w:val="0"/>
        </w:rPr>
        <w:t xml:space="preserve"> to </w:t>
      </w:r>
      <w:r w:rsidR="00E35E19" w:rsidRPr="005E6068">
        <w:rPr>
          <w:rFonts w:cs="Times New Roman PS"/>
          <w:noProof w:val="0"/>
        </w:rPr>
        <w:t>five</w:t>
      </w:r>
      <w:r w:rsidR="00E35E19">
        <w:rPr>
          <w:rFonts w:cs="Times New Roman PS"/>
          <w:noProof w:val="0"/>
        </w:rPr>
        <w:t>-</w:t>
      </w:r>
      <w:r w:rsidRPr="005E6068">
        <w:rPr>
          <w:rFonts w:cs="Times New Roman PS"/>
          <w:noProof w:val="0"/>
        </w:rPr>
        <w:t>year period and were generally exercisable at the recipient</w:t>
      </w:r>
      <w:r w:rsidR="009A645E">
        <w:rPr>
          <w:rFonts w:cs="Times New Roman PS"/>
          <w:noProof w:val="0"/>
        </w:rPr>
        <w:t>’</w:t>
      </w:r>
      <w:r w:rsidRPr="005E6068">
        <w:rPr>
          <w:rFonts w:cs="Times New Roman PS"/>
          <w:noProof w:val="0"/>
        </w:rPr>
        <w:t>s discretion for up to a decade after issuance.</w:t>
      </w:r>
      <w:r w:rsidRPr="00F155BE">
        <w:rPr>
          <w:rStyle w:val="NoterefInText"/>
        </w:rPr>
        <w:footnoteReference w:id="162"/>
      </w:r>
      <w:r w:rsidR="00DF0A04" w:rsidRPr="005E6068">
        <w:rPr>
          <w:rFonts w:cs="Times New Roman PS"/>
          <w:noProof w:val="0"/>
        </w:rPr>
        <w:t xml:space="preserve"> </w:t>
      </w:r>
      <w:r w:rsidRPr="005E6068">
        <w:rPr>
          <w:rFonts w:cs="Times New Roman PS"/>
          <w:noProof w:val="0"/>
        </w:rPr>
        <w:t>Today, performance</w:t>
      </w:r>
      <w:r w:rsidR="0053337A">
        <w:rPr>
          <w:rFonts w:cs="Times New Roman PS"/>
          <w:noProof w:val="0"/>
        </w:rPr>
        <w:t xml:space="preserve"> </w:t>
      </w:r>
      <w:r w:rsidRPr="005E6068">
        <w:rPr>
          <w:rFonts w:cs="Times New Roman PS"/>
          <w:noProof w:val="0"/>
        </w:rPr>
        <w:t>share schemes dominate,</w:t>
      </w:r>
      <w:r w:rsidR="009263B8" w:rsidRPr="00F155BE">
        <w:rPr>
          <w:rStyle w:val="NoterefInText"/>
        </w:rPr>
        <w:footnoteReference w:id="163"/>
      </w:r>
      <w:r w:rsidR="009263B8" w:rsidRPr="005E6068">
        <w:rPr>
          <w:rFonts w:cs="Times New Roman PS"/>
          <w:noProof w:val="0"/>
        </w:rPr>
        <w:t xml:space="preserve"> </w:t>
      </w:r>
      <w:r w:rsidRPr="005E6068">
        <w:rPr>
          <w:rFonts w:cs="Times New Roman PS"/>
          <w:noProof w:val="0"/>
        </w:rPr>
        <w:t>but again the vesting periods are relatively uniform and quite sticky.</w:t>
      </w:r>
      <w:r w:rsidR="00DF0A04" w:rsidRPr="005E6068">
        <w:rPr>
          <w:rFonts w:cs="Times New Roman PS"/>
          <w:noProof w:val="0"/>
        </w:rPr>
        <w:t xml:space="preserve"> </w:t>
      </w:r>
      <w:r w:rsidRPr="005E6068">
        <w:rPr>
          <w:rFonts w:cs="Times New Roman PS"/>
          <w:noProof w:val="0"/>
        </w:rPr>
        <w:t>Most plans deliver shares or the cash</w:t>
      </w:r>
      <w:r w:rsidR="00674B72">
        <w:rPr>
          <w:rFonts w:cs="Times New Roman PS"/>
          <w:noProof w:val="0"/>
        </w:rPr>
        <w:t>-</w:t>
      </w:r>
      <w:r w:rsidRPr="005E6068">
        <w:rPr>
          <w:rFonts w:cs="Times New Roman PS"/>
          <w:noProof w:val="0"/>
        </w:rPr>
        <w:t>equivalent after a three-year performance period.</w:t>
      </w:r>
      <w:r w:rsidRPr="00F155BE">
        <w:rPr>
          <w:rStyle w:val="NoterefInText"/>
        </w:rPr>
        <w:footnoteReference w:id="164"/>
      </w:r>
      <w:r w:rsidR="00DF0A04" w:rsidRPr="005E6068">
        <w:rPr>
          <w:rFonts w:cs="Times New Roman PS"/>
          <w:noProof w:val="0"/>
        </w:rPr>
        <w:t xml:space="preserve"> </w:t>
      </w:r>
      <w:r w:rsidRPr="005E6068">
        <w:rPr>
          <w:rFonts w:cs="Times New Roman PS"/>
          <w:noProof w:val="0"/>
        </w:rPr>
        <w:t xml:space="preserve">And again, </w:t>
      </w:r>
      <w:r w:rsidR="00B81A13">
        <w:rPr>
          <w:rFonts w:cs="Times New Roman PS"/>
          <w:noProof w:val="0"/>
        </w:rPr>
        <w:t>we</w:t>
      </w:r>
      <w:r w:rsidR="001B0AD4" w:rsidRPr="005E6068">
        <w:rPr>
          <w:rFonts w:cs="Times New Roman PS"/>
          <w:noProof w:val="0"/>
        </w:rPr>
        <w:t xml:space="preserve"> rarely observe </w:t>
      </w:r>
      <w:r w:rsidRPr="005E6068">
        <w:rPr>
          <w:rFonts w:cs="Times New Roman PS"/>
          <w:noProof w:val="0"/>
        </w:rPr>
        <w:t>year-to-year variation in the length of the performance period.</w:t>
      </w:r>
      <w:r w:rsidR="00E2608E" w:rsidRPr="005E6068">
        <w:rPr>
          <w:rFonts w:cs="Times New Roman PS"/>
          <w:noProof w:val="0"/>
        </w:rPr>
        <w:t xml:space="preserve"> </w:t>
      </w:r>
      <w:r w:rsidRPr="005E6068">
        <w:rPr>
          <w:rFonts w:cs="Times New Roman PS"/>
          <w:noProof w:val="0"/>
        </w:rPr>
        <w:t>It does not appear that companies tweak the vesting terms of equity-based pay to adjust WPS.</w:t>
      </w:r>
    </w:p>
    <w:p w14:paraId="4535E5B6" w14:textId="20ECEDAA" w:rsidR="00E847CF" w:rsidRPr="005E6068" w:rsidRDefault="00E847CF" w:rsidP="001B39BE">
      <w:pPr>
        <w:pStyle w:val="Document"/>
        <w:rPr>
          <w:rFonts w:cs="Times New Roman PS"/>
          <w:noProof w:val="0"/>
        </w:rPr>
      </w:pPr>
      <w:r w:rsidRPr="005E6068">
        <w:rPr>
          <w:rFonts w:cs="Times New Roman PS"/>
          <w:noProof w:val="0"/>
        </w:rPr>
        <w:t>Contrast the difficulty of adjusting WPS over the short term with the ease of adjusting RPE.</w:t>
      </w:r>
      <w:r w:rsidR="00DF0A04" w:rsidRPr="005E6068">
        <w:rPr>
          <w:rFonts w:cs="Times New Roman PS"/>
          <w:noProof w:val="0"/>
        </w:rPr>
        <w:t xml:space="preserve"> </w:t>
      </w:r>
      <w:r w:rsidRPr="005E6068">
        <w:rPr>
          <w:rFonts w:cs="Times New Roman PS"/>
          <w:noProof w:val="0"/>
        </w:rPr>
        <w:t xml:space="preserve">Given the complexity and heterogeneity of RPE-based compensation, it would be </w:t>
      </w:r>
      <w:r w:rsidR="00EB031B" w:rsidRPr="005E6068">
        <w:rPr>
          <w:rFonts w:cs="Times New Roman PS"/>
          <w:noProof w:val="0"/>
        </w:rPr>
        <w:t>un</w:t>
      </w:r>
      <w:r w:rsidRPr="005E6068">
        <w:rPr>
          <w:rFonts w:cs="Times New Roman PS"/>
          <w:noProof w:val="0"/>
        </w:rPr>
        <w:t>remarkable for a company to grant a performance award in one year that incorporates strong RPE-based metrics and benchmarks</w:t>
      </w:r>
      <w:r w:rsidR="001B0AD4" w:rsidRPr="005E6068">
        <w:rPr>
          <w:rFonts w:cs="Times New Roman PS"/>
          <w:noProof w:val="0"/>
        </w:rPr>
        <w:t>,</w:t>
      </w:r>
      <w:r w:rsidRPr="005E6068">
        <w:rPr>
          <w:rFonts w:cs="Times New Roman PS"/>
          <w:noProof w:val="0"/>
        </w:rPr>
        <w:t xml:space="preserve"> and in a second year to select weaker RPE metrics and benchmarks or to rep</w:t>
      </w:r>
      <w:r w:rsidR="00330C91">
        <w:rPr>
          <w:rFonts w:cs="Times New Roman PS"/>
          <w:noProof w:val="0"/>
        </w:rPr>
        <w:t>lace RPE metrics with absolute</w:t>
      </w:r>
      <w:r w:rsidR="00F6348C">
        <w:rPr>
          <w:rFonts w:cs="Times New Roman PS"/>
          <w:noProof w:val="0"/>
        </w:rPr>
        <w:t xml:space="preserve">, </w:t>
      </w:r>
      <w:r w:rsidR="00330C91">
        <w:rPr>
          <w:rFonts w:cs="Times New Roman PS"/>
          <w:noProof w:val="0"/>
        </w:rPr>
        <w:t>i.e.</w:t>
      </w:r>
      <w:r w:rsidRPr="005E6068">
        <w:rPr>
          <w:rFonts w:cs="Times New Roman PS"/>
          <w:noProof w:val="0"/>
        </w:rPr>
        <w:t>, firm-specific</w:t>
      </w:r>
      <w:r w:rsidR="00F6348C">
        <w:rPr>
          <w:rFonts w:cs="Times New Roman PS"/>
          <w:noProof w:val="0"/>
        </w:rPr>
        <w:t>,</w:t>
      </w:r>
      <w:r w:rsidRPr="005E6068">
        <w:rPr>
          <w:rFonts w:cs="Times New Roman PS"/>
          <w:noProof w:val="0"/>
        </w:rPr>
        <w:t xml:space="preserve"> metrics.</w:t>
      </w:r>
      <w:r w:rsidR="00DF0A04" w:rsidRPr="005E6068">
        <w:rPr>
          <w:rFonts w:cs="Times New Roman PS"/>
          <w:noProof w:val="0"/>
        </w:rPr>
        <w:t xml:space="preserve"> </w:t>
      </w:r>
      <w:r w:rsidRPr="005E6068">
        <w:rPr>
          <w:rFonts w:cs="Times New Roman PS"/>
          <w:noProof w:val="0"/>
        </w:rPr>
        <w:t xml:space="preserve">This can be done without making any tradeoff with </w:t>
      </w:r>
      <w:r w:rsidR="007319F3">
        <w:rPr>
          <w:rFonts w:cs="Times New Roman PS"/>
          <w:noProof w:val="0"/>
        </w:rPr>
        <w:t>salary or other pay that is not based on performance</w:t>
      </w:r>
      <w:r w:rsidRPr="005E6068">
        <w:rPr>
          <w:rFonts w:cs="Times New Roman PS"/>
          <w:noProof w:val="0"/>
        </w:rPr>
        <w:t>.</w:t>
      </w:r>
      <w:r w:rsidR="00DF0A04" w:rsidRPr="005E6068">
        <w:rPr>
          <w:rFonts w:cs="Times New Roman PS"/>
          <w:noProof w:val="0"/>
        </w:rPr>
        <w:t xml:space="preserve"> </w:t>
      </w:r>
      <w:r w:rsidRPr="005E6068">
        <w:rPr>
          <w:rFonts w:cs="Times New Roman PS"/>
          <w:noProof w:val="0"/>
        </w:rPr>
        <w:t>To be sure, most performance</w:t>
      </w:r>
      <w:r w:rsidR="00330C91">
        <w:rPr>
          <w:rFonts w:cs="Times New Roman PS"/>
          <w:noProof w:val="0"/>
        </w:rPr>
        <w:t xml:space="preserve"> </w:t>
      </w:r>
      <w:r w:rsidRPr="005E6068">
        <w:rPr>
          <w:rFonts w:cs="Times New Roman PS"/>
          <w:noProof w:val="0"/>
        </w:rPr>
        <w:t xml:space="preserve">awards measure results over a </w:t>
      </w:r>
      <w:r w:rsidR="003C260F" w:rsidRPr="005E6068">
        <w:rPr>
          <w:rFonts w:cs="Times New Roman PS"/>
          <w:noProof w:val="0"/>
        </w:rPr>
        <w:t>three</w:t>
      </w:r>
      <w:r w:rsidR="003C260F">
        <w:rPr>
          <w:rFonts w:cs="Times New Roman PS"/>
          <w:noProof w:val="0"/>
        </w:rPr>
        <w:t>-</w:t>
      </w:r>
      <w:r w:rsidRPr="005E6068">
        <w:rPr>
          <w:rFonts w:cs="Times New Roman PS"/>
          <w:noProof w:val="0"/>
        </w:rPr>
        <w:t>year period, but in the span of three years</w:t>
      </w:r>
      <w:r w:rsidR="001103EC" w:rsidRPr="005E6068">
        <w:rPr>
          <w:rFonts w:cs="Times New Roman PS"/>
          <w:noProof w:val="0"/>
        </w:rPr>
        <w:t>,</w:t>
      </w:r>
      <w:r w:rsidRPr="005E6068">
        <w:rPr>
          <w:rFonts w:cs="Times New Roman PS"/>
          <w:noProof w:val="0"/>
        </w:rPr>
        <w:t xml:space="preserve"> a company could shift from strong RPE to no RPE or vice versa, changes that would have little or no impact on WPS.</w:t>
      </w:r>
      <w:r w:rsidRPr="00F155BE">
        <w:rPr>
          <w:rStyle w:val="NoterefInText"/>
        </w:rPr>
        <w:footnoteReference w:id="165"/>
      </w:r>
    </w:p>
    <w:p w14:paraId="3FBA62B7" w14:textId="5DDDC576" w:rsidR="00E847CF" w:rsidRPr="005E6068" w:rsidRDefault="007D7642" w:rsidP="001B39BE">
      <w:pPr>
        <w:pStyle w:val="SubHead4"/>
        <w:widowControl/>
      </w:pPr>
      <w:bookmarkStart w:id="94" w:name="_Toc23780677"/>
      <w:r>
        <w:rPr>
          <w:i w:val="0"/>
        </w:rPr>
        <w:lastRenderedPageBreak/>
        <w:t>b.</w:t>
      </w:r>
      <w:r>
        <w:rPr>
          <w:i w:val="0"/>
        </w:rPr>
        <w:tab/>
      </w:r>
      <w:r w:rsidR="00E847CF" w:rsidRPr="005E6068">
        <w:t>Adjusting WPS Through Previously</w:t>
      </w:r>
      <w:r w:rsidR="00D97953">
        <w:t xml:space="preserve"> </w:t>
      </w:r>
      <w:r w:rsidR="00E847CF" w:rsidRPr="005E6068">
        <w:t>Issued Compensation</w:t>
      </w:r>
      <w:bookmarkEnd w:id="94"/>
    </w:p>
    <w:p w14:paraId="6C69DA06" w14:textId="58AF25AC" w:rsidR="00E847CF" w:rsidRPr="005E6068" w:rsidRDefault="00E847CF" w:rsidP="001B39BE">
      <w:pPr>
        <w:pStyle w:val="Document"/>
        <w:rPr>
          <w:rFonts w:cs="Times New Roman PS"/>
          <w:noProof w:val="0"/>
        </w:rPr>
      </w:pPr>
      <w:r w:rsidRPr="005E6068">
        <w:rPr>
          <w:rFonts w:cs="Times New Roman PS"/>
          <w:noProof w:val="0"/>
        </w:rPr>
        <w:t>Short of dismissing executives prior to vesting, companies have essentially no ability to adjust WPS associated with equity-based pay issued in prior years.</w:t>
      </w:r>
      <w:r w:rsidR="00DF0A04" w:rsidRPr="005E6068">
        <w:rPr>
          <w:rFonts w:cs="Times New Roman PS"/>
          <w:noProof w:val="0"/>
        </w:rPr>
        <w:t xml:space="preserve"> </w:t>
      </w:r>
      <w:r w:rsidRPr="005E6068">
        <w:rPr>
          <w:rFonts w:cs="Times New Roman PS"/>
          <w:noProof w:val="0"/>
        </w:rPr>
        <w:t>Once</w:t>
      </w:r>
      <w:r w:rsidR="001B0AD4" w:rsidRPr="005E6068">
        <w:rPr>
          <w:rFonts w:cs="Times New Roman PS"/>
          <w:noProof w:val="0"/>
        </w:rPr>
        <w:t xml:space="preserve"> </w:t>
      </w:r>
      <w:r w:rsidRPr="005E6068">
        <w:rPr>
          <w:rFonts w:cs="Times New Roman PS"/>
          <w:noProof w:val="0"/>
        </w:rPr>
        <w:t>equity-based pay</w:t>
      </w:r>
      <w:r w:rsidR="00B81A13">
        <w:rPr>
          <w:rFonts w:cs="Times New Roman PS"/>
          <w:noProof w:val="0"/>
        </w:rPr>
        <w:t xml:space="preserve"> is issued</w:t>
      </w:r>
      <w:r w:rsidRPr="005E6068">
        <w:rPr>
          <w:rFonts w:cs="Times New Roman PS"/>
          <w:noProof w:val="0"/>
        </w:rPr>
        <w:t>, the vesting or holding periods, which largely determine the WPS-based incentives, are either fixed (restricted stock and performance shares) or</w:t>
      </w:r>
      <w:r w:rsidR="00F6348C">
        <w:rPr>
          <w:rFonts w:cs="Times New Roman PS"/>
          <w:noProof w:val="0"/>
        </w:rPr>
        <w:t xml:space="preserve"> are</w:t>
      </w:r>
      <w:r w:rsidRPr="005E6068">
        <w:rPr>
          <w:rFonts w:cs="Times New Roman PS"/>
          <w:noProof w:val="0"/>
        </w:rPr>
        <w:t xml:space="preserve"> actually under the control of the executives (options).</w:t>
      </w:r>
      <w:bookmarkStart w:id="95" w:name="_Ref21087095"/>
      <w:r w:rsidR="00E2608E" w:rsidRPr="00F155BE">
        <w:rPr>
          <w:rStyle w:val="NoterefInText"/>
        </w:rPr>
        <w:footnoteReference w:id="166"/>
      </w:r>
      <w:bookmarkEnd w:id="95"/>
      <w:r w:rsidR="00DF0A04" w:rsidRPr="005E6068">
        <w:rPr>
          <w:rFonts w:cs="Times New Roman PS"/>
          <w:noProof w:val="0"/>
        </w:rPr>
        <w:t xml:space="preserve"> </w:t>
      </w:r>
      <w:r w:rsidRPr="005E6068">
        <w:rPr>
          <w:rFonts w:cs="Times New Roman PS"/>
          <w:noProof w:val="0"/>
        </w:rPr>
        <w:t>Post-issuance, companies do not retain discretion over vesting or exercise that might allow them to tweak WPS after the fact.</w:t>
      </w:r>
      <w:r w:rsidR="00DF0A04" w:rsidRPr="005E6068">
        <w:rPr>
          <w:rFonts w:cs="Times New Roman PS"/>
          <w:noProof w:val="0"/>
        </w:rPr>
        <w:t xml:space="preserve"> </w:t>
      </w:r>
      <w:r w:rsidRPr="005E6068">
        <w:rPr>
          <w:rFonts w:cs="Times New Roman PS"/>
          <w:noProof w:val="0"/>
        </w:rPr>
        <w:t>To be sure, the number of shares underlying performance</w:t>
      </w:r>
      <w:r w:rsidR="0053337A">
        <w:rPr>
          <w:rFonts w:cs="Times New Roman PS"/>
          <w:noProof w:val="0"/>
        </w:rPr>
        <w:t xml:space="preserve"> </w:t>
      </w:r>
      <w:r w:rsidRPr="005E6068">
        <w:rPr>
          <w:rFonts w:cs="Times New Roman PS"/>
          <w:noProof w:val="0"/>
        </w:rPr>
        <w:t>share grants is generally variable, but the targets are set at issuance and are not within a company</w:t>
      </w:r>
      <w:r w:rsidR="009A645E">
        <w:rPr>
          <w:rFonts w:cs="Times New Roman PS"/>
          <w:noProof w:val="0"/>
        </w:rPr>
        <w:t>’</w:t>
      </w:r>
      <w:r w:rsidRPr="005E6068">
        <w:rPr>
          <w:rFonts w:cs="Times New Roman PS"/>
          <w:noProof w:val="0"/>
        </w:rPr>
        <w:t>s control.</w:t>
      </w:r>
      <w:r w:rsidRPr="00F155BE">
        <w:rPr>
          <w:rStyle w:val="NoterefInText"/>
        </w:rPr>
        <w:footnoteReference w:id="167"/>
      </w:r>
    </w:p>
    <w:p w14:paraId="33DE0653" w14:textId="50823FC8" w:rsidR="00E847CF" w:rsidRPr="005E6068" w:rsidRDefault="007D7642" w:rsidP="001B39BE">
      <w:pPr>
        <w:pStyle w:val="SubHead4"/>
        <w:widowControl/>
      </w:pPr>
      <w:bookmarkStart w:id="96" w:name="_Toc23780678"/>
      <w:r>
        <w:rPr>
          <w:i w:val="0"/>
        </w:rPr>
        <w:t>c.</w:t>
      </w:r>
      <w:r>
        <w:rPr>
          <w:i w:val="0"/>
        </w:rPr>
        <w:tab/>
      </w:r>
      <w:r w:rsidR="00E847CF" w:rsidRPr="005E6068">
        <w:t>Adjusting WPS Associated with Vested Stock</w:t>
      </w:r>
      <w:bookmarkEnd w:id="96"/>
    </w:p>
    <w:p w14:paraId="67A57897" w14:textId="21F11D85" w:rsidR="00900964" w:rsidRPr="005E6068" w:rsidRDefault="00E847CF" w:rsidP="001B39BE">
      <w:pPr>
        <w:pStyle w:val="Document"/>
        <w:rPr>
          <w:rFonts w:cs="Times New Roman PS"/>
          <w:noProof w:val="0"/>
        </w:rPr>
      </w:pPr>
      <w:r w:rsidRPr="005E6068">
        <w:rPr>
          <w:rFonts w:cs="Times New Roman PS"/>
          <w:noProof w:val="0"/>
        </w:rPr>
        <w:t xml:space="preserve">Moreover, companies do very little to control executive ownership of vested shares, and to my knowledge they never </w:t>
      </w:r>
      <w:r w:rsidRPr="005E6068">
        <w:rPr>
          <w:rFonts w:cs="Times New Roman PS"/>
          <w:i/>
          <w:noProof w:val="0"/>
        </w:rPr>
        <w:t>cap</w:t>
      </w:r>
      <w:r w:rsidRPr="005E6068">
        <w:rPr>
          <w:rFonts w:cs="Times New Roman PS"/>
          <w:noProof w:val="0"/>
        </w:rPr>
        <w:t xml:space="preserve"> executive ownership.</w:t>
      </w:r>
      <w:r w:rsidR="00DF0A04" w:rsidRPr="005E6068">
        <w:rPr>
          <w:rFonts w:cs="Times New Roman PS"/>
          <w:noProof w:val="0"/>
        </w:rPr>
        <w:t xml:space="preserve"> </w:t>
      </w:r>
      <w:r w:rsidRPr="005E6068">
        <w:rPr>
          <w:rFonts w:cs="Times New Roman PS"/>
          <w:noProof w:val="0"/>
        </w:rPr>
        <w:t>To be sure, many companies have share</w:t>
      </w:r>
      <w:r w:rsidR="00A90158">
        <w:rPr>
          <w:rFonts w:cs="Times New Roman PS"/>
          <w:noProof w:val="0"/>
        </w:rPr>
        <w:t>-</w:t>
      </w:r>
      <w:r w:rsidRPr="005E6068">
        <w:rPr>
          <w:rFonts w:cs="Times New Roman PS"/>
          <w:noProof w:val="0"/>
        </w:rPr>
        <w:t xml:space="preserve">ownership guidelines for senior executives, but conventional wisdom suggests that these guidelines are rarely binding, </w:t>
      </w:r>
      <w:r w:rsidR="00F6348C">
        <w:rPr>
          <w:rFonts w:cs="Times New Roman PS"/>
          <w:noProof w:val="0"/>
        </w:rPr>
        <w:t xml:space="preserve">either </w:t>
      </w:r>
      <w:r w:rsidR="009268A0">
        <w:rPr>
          <w:rFonts w:cs="Times New Roman PS"/>
          <w:noProof w:val="0"/>
        </w:rPr>
        <w:t xml:space="preserve">because they are </w:t>
      </w:r>
      <w:r w:rsidRPr="005E6068">
        <w:rPr>
          <w:rFonts w:cs="Times New Roman PS"/>
          <w:noProof w:val="0"/>
        </w:rPr>
        <w:t xml:space="preserve">modest compared to </w:t>
      </w:r>
      <w:r w:rsidR="009268A0">
        <w:rPr>
          <w:rFonts w:cs="Times New Roman PS"/>
          <w:noProof w:val="0"/>
        </w:rPr>
        <w:t>executive compensation levels,</w:t>
      </w:r>
      <w:r w:rsidR="00F6348C">
        <w:rPr>
          <w:rFonts w:cs="Times New Roman PS"/>
          <w:noProof w:val="0"/>
        </w:rPr>
        <w:t xml:space="preserve"> are</w:t>
      </w:r>
      <w:r w:rsidR="009268A0">
        <w:rPr>
          <w:rFonts w:cs="Times New Roman PS"/>
          <w:noProof w:val="0"/>
        </w:rPr>
        <w:t xml:space="preserve"> </w:t>
      </w:r>
      <w:r w:rsidRPr="005E6068">
        <w:rPr>
          <w:rFonts w:cs="Times New Roman PS"/>
          <w:noProof w:val="0"/>
        </w:rPr>
        <w:t xml:space="preserve">satisfied by unvested equity pay, or </w:t>
      </w:r>
      <w:r w:rsidR="00F6348C">
        <w:rPr>
          <w:rFonts w:cs="Times New Roman PS"/>
          <w:noProof w:val="0"/>
        </w:rPr>
        <w:t xml:space="preserve">are </w:t>
      </w:r>
      <w:r w:rsidR="001103EC" w:rsidRPr="005E6068">
        <w:rPr>
          <w:rFonts w:cs="Times New Roman PS"/>
          <w:noProof w:val="0"/>
        </w:rPr>
        <w:t xml:space="preserve">simply </w:t>
      </w:r>
      <w:r w:rsidRPr="005E6068">
        <w:rPr>
          <w:rFonts w:cs="Times New Roman PS"/>
          <w:noProof w:val="0"/>
        </w:rPr>
        <w:t>viewed as guidelines and not enforced as strict requirements.</w:t>
      </w:r>
      <w:bookmarkStart w:id="97" w:name="_Ref19692898"/>
      <w:r w:rsidRPr="00F155BE">
        <w:rPr>
          <w:rStyle w:val="NoterefInText"/>
        </w:rPr>
        <w:footnoteReference w:id="168"/>
      </w:r>
      <w:bookmarkEnd w:id="97"/>
    </w:p>
    <w:p w14:paraId="52101BE9" w14:textId="77777777" w:rsidR="00900964" w:rsidRPr="005E6068" w:rsidRDefault="00900964" w:rsidP="001B39BE">
      <w:pPr>
        <w:pStyle w:val="Document"/>
        <w:spacing w:before="240" w:after="120"/>
        <w:ind w:firstLine="0"/>
        <w:jc w:val="center"/>
        <w:rPr>
          <w:rFonts w:cs="Times New Roman PS"/>
          <w:noProof w:val="0"/>
        </w:rPr>
      </w:pPr>
      <w:r w:rsidRPr="005E6068">
        <w:rPr>
          <w:rFonts w:cs="Times New Roman PS"/>
          <w:noProof w:val="0"/>
        </w:rPr>
        <w:t>*****</w:t>
      </w:r>
    </w:p>
    <w:p w14:paraId="4F0B986E" w14:textId="3F459C72" w:rsidR="00E847CF" w:rsidRPr="005E6068" w:rsidRDefault="00E847CF" w:rsidP="001B39BE">
      <w:pPr>
        <w:pStyle w:val="Document"/>
        <w:rPr>
          <w:rFonts w:cs="Times New Roman PS"/>
          <w:noProof w:val="0"/>
        </w:rPr>
      </w:pPr>
      <w:r w:rsidRPr="005E6068">
        <w:rPr>
          <w:rFonts w:cs="Times New Roman PS"/>
          <w:noProof w:val="0"/>
        </w:rPr>
        <w:t>In sum, companies could manage WPS associated with current compensation by making adjustments to compensation mix or the vesting terms of long-term instruments, but they do not appear to make frequent changes in either.</w:t>
      </w:r>
      <w:r w:rsidR="00DF0A04" w:rsidRPr="005E6068">
        <w:rPr>
          <w:rFonts w:cs="Times New Roman PS"/>
          <w:noProof w:val="0"/>
        </w:rPr>
        <w:t xml:space="preserve"> </w:t>
      </w:r>
      <w:r w:rsidRPr="005E6068">
        <w:rPr>
          <w:rFonts w:cs="Times New Roman PS"/>
          <w:noProof w:val="0"/>
        </w:rPr>
        <w:t>Companies have little scope to manage WPS associated with issued and unvested or vested equity.</w:t>
      </w:r>
      <w:r w:rsidR="00DF0A04" w:rsidRPr="005E6068">
        <w:rPr>
          <w:rFonts w:cs="Times New Roman PS"/>
          <w:noProof w:val="0"/>
        </w:rPr>
        <w:t xml:space="preserve"> </w:t>
      </w:r>
      <w:r w:rsidRPr="005E6068">
        <w:rPr>
          <w:rFonts w:cs="Times New Roman PS"/>
          <w:noProof w:val="0"/>
        </w:rPr>
        <w:t>This is not to suggest that companies do</w:t>
      </w:r>
      <w:r w:rsidR="00B84580">
        <w:rPr>
          <w:rFonts w:cs="Times New Roman PS"/>
          <w:noProof w:val="0"/>
        </w:rPr>
        <w:t xml:space="preserve"> </w:t>
      </w:r>
      <w:r w:rsidRPr="005E6068">
        <w:rPr>
          <w:rFonts w:cs="Times New Roman PS"/>
          <w:noProof w:val="0"/>
        </w:rPr>
        <w:t>n</w:t>
      </w:r>
      <w:r w:rsidR="00B84580">
        <w:rPr>
          <w:rFonts w:cs="Times New Roman PS"/>
          <w:noProof w:val="0"/>
        </w:rPr>
        <w:t>o</w:t>
      </w:r>
      <w:r w:rsidRPr="005E6068">
        <w:rPr>
          <w:rFonts w:cs="Times New Roman PS"/>
          <w:noProof w:val="0"/>
        </w:rPr>
        <w:t>t manage executive WPS.</w:t>
      </w:r>
      <w:r w:rsidR="00DF0A04" w:rsidRPr="005E6068">
        <w:rPr>
          <w:rFonts w:cs="Times New Roman PS"/>
          <w:noProof w:val="0"/>
        </w:rPr>
        <w:t xml:space="preserve"> </w:t>
      </w:r>
      <w:r w:rsidRPr="005E6068">
        <w:rPr>
          <w:rFonts w:cs="Times New Roman PS"/>
          <w:noProof w:val="0"/>
        </w:rPr>
        <w:t>Of course they do, but only in the way that one adju</w:t>
      </w:r>
      <w:r w:rsidR="005E6068" w:rsidRPr="005E6068">
        <w:rPr>
          <w:rFonts w:cs="Times New Roman PS"/>
          <w:noProof w:val="0"/>
        </w:rPr>
        <w:t>sts the course of an oil tanker</w:t>
      </w:r>
      <w:r w:rsidR="00B84580">
        <w:rPr>
          <w:rFonts w:cs="Times New Roman PS"/>
          <w:noProof w:val="0"/>
        </w:rPr>
        <w:t>—</w:t>
      </w:r>
      <w:r w:rsidRPr="005E6068">
        <w:rPr>
          <w:rFonts w:cs="Times New Roman PS"/>
          <w:noProof w:val="0"/>
        </w:rPr>
        <w:t>very slowly.</w:t>
      </w:r>
      <w:r w:rsidR="00C254A6" w:rsidRPr="005E6068">
        <w:rPr>
          <w:rFonts w:cs="Times New Roman PS"/>
          <w:noProof w:val="0"/>
        </w:rPr>
        <w:t xml:space="preserve"> </w:t>
      </w:r>
    </w:p>
    <w:p w14:paraId="0AE38530" w14:textId="53689453" w:rsidR="00E847CF" w:rsidRPr="005E6068" w:rsidRDefault="00E847CF" w:rsidP="001B39BE">
      <w:pPr>
        <w:pStyle w:val="Document"/>
        <w:rPr>
          <w:rFonts w:cs="Times New Roman PS"/>
          <w:noProof w:val="0"/>
        </w:rPr>
      </w:pPr>
      <w:r w:rsidRPr="005E6068">
        <w:rPr>
          <w:rFonts w:cs="Times New Roman PS"/>
          <w:noProof w:val="0"/>
        </w:rPr>
        <w:t xml:space="preserve">As a result, it is difficult to fathom the idea that companies in industries with large holdings by BlackRock and/or BGI either consciously reduced executive WPS within three years of the acquisition in light of greater post-acquisition </w:t>
      </w:r>
      <w:r w:rsidRPr="005E6068">
        <w:rPr>
          <w:rFonts w:cs="Times New Roman PS"/>
          <w:noProof w:val="0"/>
        </w:rPr>
        <w:lastRenderedPageBreak/>
        <w:t>common ownership or failed to respond as companies in other industries took steps to increase WPS.</w:t>
      </w:r>
      <w:r w:rsidRPr="00F155BE">
        <w:rPr>
          <w:rStyle w:val="NoterefInText"/>
        </w:rPr>
        <w:footnoteReference w:id="169"/>
      </w:r>
      <w:r w:rsidR="00DF0A04" w:rsidRPr="005E6068">
        <w:rPr>
          <w:rFonts w:cs="Times New Roman PS"/>
          <w:noProof w:val="0"/>
        </w:rPr>
        <w:t xml:space="preserve"> </w:t>
      </w:r>
      <w:r w:rsidRPr="005E6068">
        <w:rPr>
          <w:rFonts w:cs="Times New Roman PS"/>
          <w:noProof w:val="0"/>
        </w:rPr>
        <w:t>Setting aside the question of whether BlackRock, one of the largest index-focused investors, would have an incentive to manage WPS and interfirm competition,</w:t>
      </w:r>
      <w:r w:rsidRPr="00F155BE">
        <w:rPr>
          <w:rStyle w:val="NoterefInText"/>
        </w:rPr>
        <w:footnoteReference w:id="170"/>
      </w:r>
      <w:r w:rsidRPr="005E6068">
        <w:rPr>
          <w:rFonts w:cs="Times New Roman PS"/>
          <w:noProof w:val="0"/>
        </w:rPr>
        <w:t xml:space="preserve"> the companies in industries that became more commonly owned after the BlackRock/BGI merger would have had no levers with which to reduce WPS associated with outstanding equity awards and the only means of reducing WPS associated with vested share holdings would have been to soften shareholding guidelines allowing executives to sell more shares, which, given the optics, seems unlikely.</w:t>
      </w:r>
      <w:r w:rsidRPr="00F155BE">
        <w:rPr>
          <w:rStyle w:val="NoterefInText"/>
        </w:rPr>
        <w:footnoteReference w:id="171"/>
      </w:r>
      <w:r w:rsidR="00DF0A04" w:rsidRPr="005E6068">
        <w:rPr>
          <w:rFonts w:cs="Times New Roman PS"/>
          <w:noProof w:val="0"/>
        </w:rPr>
        <w:t xml:space="preserve"> </w:t>
      </w:r>
      <w:r w:rsidRPr="005E6068">
        <w:rPr>
          <w:rFonts w:cs="Times New Roman PS"/>
          <w:noProof w:val="0"/>
        </w:rPr>
        <w:t>As a result, any reduction in WPS would have to have been achieved through adjustments to current compensation grants and</w:t>
      </w:r>
      <w:r w:rsidR="00AF1BEA">
        <w:rPr>
          <w:rFonts w:cs="Times New Roman PS"/>
          <w:noProof w:val="0"/>
        </w:rPr>
        <w:t>,</w:t>
      </w:r>
      <w:r w:rsidRPr="005E6068">
        <w:rPr>
          <w:rFonts w:cs="Times New Roman PS"/>
          <w:noProof w:val="0"/>
        </w:rPr>
        <w:t xml:space="preserve"> given the relatively short period of study, through reducing the size of equity grants rather than through shortening vesting periods.</w:t>
      </w:r>
      <w:r w:rsidR="00DF0A04" w:rsidRPr="005E6068">
        <w:rPr>
          <w:rFonts w:cs="Times New Roman PS"/>
          <w:noProof w:val="0"/>
        </w:rPr>
        <w:t xml:space="preserve"> </w:t>
      </w:r>
    </w:p>
    <w:p w14:paraId="55793204" w14:textId="030E66FB" w:rsidR="00E847CF" w:rsidRPr="005E6068" w:rsidRDefault="00E847CF" w:rsidP="001B39BE">
      <w:pPr>
        <w:pStyle w:val="Document"/>
        <w:rPr>
          <w:rFonts w:cs="Times New Roman PS"/>
          <w:noProof w:val="0"/>
        </w:rPr>
      </w:pPr>
      <w:r w:rsidRPr="005E6068">
        <w:rPr>
          <w:rFonts w:cs="Times New Roman PS"/>
          <w:noProof w:val="0"/>
        </w:rPr>
        <w:t>Alternatively, companies in industries that became more commonly owned might have maintained WPS while companies in other industries increased WPS.</w:t>
      </w:r>
      <w:r w:rsidR="00DF0A04" w:rsidRPr="005E6068">
        <w:rPr>
          <w:rFonts w:cs="Times New Roman PS"/>
          <w:noProof w:val="0"/>
        </w:rPr>
        <w:t xml:space="preserve"> </w:t>
      </w:r>
      <w:r w:rsidRPr="005E6068">
        <w:rPr>
          <w:rFonts w:cs="Times New Roman PS"/>
          <w:noProof w:val="0"/>
        </w:rPr>
        <w:t>But why would the BlackRock/BGI merger prompt an increase in WPS in industries unaffected or less affected by the merger?</w:t>
      </w:r>
      <w:r w:rsidR="00DF0A04" w:rsidRPr="005E6068">
        <w:rPr>
          <w:rFonts w:cs="Times New Roman PS"/>
          <w:noProof w:val="0"/>
        </w:rPr>
        <w:t xml:space="preserve"> </w:t>
      </w:r>
      <w:r w:rsidRPr="005E6068">
        <w:rPr>
          <w:rFonts w:cs="Times New Roman PS"/>
          <w:noProof w:val="0"/>
        </w:rPr>
        <w:t xml:space="preserve">Of course, the timing might have been coincidental, but again, even if the companies in these other industries purposefully set out to increase WPS, the tools with which they could do so in a </w:t>
      </w:r>
      <w:r w:rsidR="005E6068" w:rsidRPr="005E6068">
        <w:rPr>
          <w:rFonts w:cs="Times New Roman PS"/>
          <w:noProof w:val="0"/>
        </w:rPr>
        <w:t>three-year</w:t>
      </w:r>
      <w:r w:rsidRPr="005E6068">
        <w:rPr>
          <w:rFonts w:cs="Times New Roman PS"/>
          <w:noProof w:val="0"/>
        </w:rPr>
        <w:t xml:space="preserve"> period would be quite limited.</w:t>
      </w:r>
    </w:p>
    <w:p w14:paraId="2580AA68" w14:textId="292BCE08" w:rsidR="00E847CF" w:rsidRPr="005E6068" w:rsidRDefault="00E847CF" w:rsidP="001B39BE">
      <w:pPr>
        <w:pStyle w:val="Document"/>
        <w:rPr>
          <w:rFonts w:cs="Times New Roman PS"/>
          <w:noProof w:val="0"/>
        </w:rPr>
      </w:pPr>
      <w:r w:rsidRPr="005E6068">
        <w:rPr>
          <w:rFonts w:cs="Times New Roman PS"/>
          <w:noProof w:val="0"/>
        </w:rPr>
        <w:t>AEGS suggest that the absence of a large active blockholder without an interest in competing companies is the simplest mechanism explaining their findings.</w:t>
      </w:r>
      <w:r w:rsidRPr="00F155BE">
        <w:rPr>
          <w:rStyle w:val="NoterefInText"/>
        </w:rPr>
        <w:footnoteReference w:id="172"/>
      </w:r>
      <w:r w:rsidR="00DF0A04" w:rsidRPr="005E6068">
        <w:rPr>
          <w:rFonts w:cs="Times New Roman PS"/>
          <w:noProof w:val="0"/>
        </w:rPr>
        <w:t xml:space="preserve"> </w:t>
      </w:r>
      <w:r w:rsidRPr="005E6068">
        <w:rPr>
          <w:rFonts w:cs="Times New Roman PS"/>
          <w:noProof w:val="0"/>
        </w:rPr>
        <w:t>But in order to explain the results of the BlackRock/BGI difference in differences analysis</w:t>
      </w:r>
      <w:r w:rsidR="00367E69" w:rsidRPr="005E6068">
        <w:rPr>
          <w:rFonts w:cs="Times New Roman PS"/>
          <w:noProof w:val="0"/>
        </w:rPr>
        <w:t>,</w:t>
      </w:r>
      <w:r w:rsidRPr="005E6068">
        <w:rPr>
          <w:rFonts w:cs="Times New Roman PS"/>
          <w:noProof w:val="0"/>
        </w:rPr>
        <w:t xml:space="preserve"> one would have to assume </w:t>
      </w:r>
      <w:r w:rsidR="00367E69" w:rsidRPr="005E6068">
        <w:rPr>
          <w:rFonts w:cs="Times New Roman PS"/>
          <w:noProof w:val="0"/>
        </w:rPr>
        <w:t>either</w:t>
      </w:r>
      <w:r w:rsidRPr="005E6068">
        <w:rPr>
          <w:rFonts w:cs="Times New Roman PS"/>
          <w:noProof w:val="0"/>
        </w:rPr>
        <w:t xml:space="preserve"> the entry of new unconflicted blockholders into the industries that were less affected by the merger</w:t>
      </w:r>
      <w:r w:rsidR="00F6348C">
        <w:rPr>
          <w:rFonts w:cs="Times New Roman PS"/>
          <w:noProof w:val="0"/>
        </w:rPr>
        <w:t>,</w:t>
      </w:r>
      <w:r w:rsidR="00367E69" w:rsidRPr="005E6068">
        <w:rPr>
          <w:rFonts w:cs="Times New Roman PS"/>
          <w:noProof w:val="0"/>
        </w:rPr>
        <w:t xml:space="preserve"> </w:t>
      </w:r>
      <w:r w:rsidRPr="005E6068">
        <w:rPr>
          <w:rFonts w:cs="Times New Roman PS"/>
          <w:noProof w:val="0"/>
        </w:rPr>
        <w:t>or that existing unconflicted blockholders in these industries for some reason became more aggressive in managing WPS after the BlackRock/BGI merger.</w:t>
      </w:r>
      <w:r w:rsidR="00DF0A04" w:rsidRPr="005E6068">
        <w:rPr>
          <w:rFonts w:cs="Times New Roman PS"/>
          <w:noProof w:val="0"/>
        </w:rPr>
        <w:t xml:space="preserve"> </w:t>
      </w:r>
      <w:r w:rsidRPr="005E6068">
        <w:rPr>
          <w:rFonts w:cs="Times New Roman PS"/>
          <w:noProof w:val="0"/>
        </w:rPr>
        <w:t>Otherwise, one must assume that companies in industries that became more heavily commonly owned actually reduced WPS.</w:t>
      </w:r>
      <w:r w:rsidR="00DF0A04" w:rsidRPr="005E6068">
        <w:rPr>
          <w:rFonts w:cs="Times New Roman PS"/>
          <w:noProof w:val="0"/>
        </w:rPr>
        <w:t xml:space="preserve"> </w:t>
      </w:r>
      <w:r w:rsidRPr="005E6068">
        <w:rPr>
          <w:rFonts w:cs="Times New Roman PS"/>
          <w:noProof w:val="0"/>
        </w:rPr>
        <w:t xml:space="preserve">Neither explanation seems likely. </w:t>
      </w:r>
    </w:p>
    <w:p w14:paraId="54162149" w14:textId="77777777" w:rsidR="00E847CF" w:rsidRPr="005E6068" w:rsidRDefault="00E847CF" w:rsidP="00416815">
      <w:pPr>
        <w:pStyle w:val="SubHead3"/>
      </w:pPr>
      <w:bookmarkStart w:id="98" w:name="_Toc16064718"/>
      <w:bookmarkStart w:id="99" w:name="_Toc23780679"/>
      <w:r w:rsidRPr="005E6068">
        <w:lastRenderedPageBreak/>
        <w:t>3.</w:t>
      </w:r>
      <w:r w:rsidR="00247A8B" w:rsidRPr="005E6068">
        <w:tab/>
      </w:r>
      <w:r w:rsidRPr="00416815">
        <w:t>Methodological</w:t>
      </w:r>
      <w:r w:rsidRPr="005E6068">
        <w:t xml:space="preserve"> Concerns with a WPS-Based Assessment of Incentives</w:t>
      </w:r>
      <w:bookmarkEnd w:id="98"/>
      <w:bookmarkEnd w:id="99"/>
    </w:p>
    <w:p w14:paraId="7007CEA0" w14:textId="700789CC" w:rsidR="00E847CF" w:rsidRPr="005E6068" w:rsidRDefault="00E847CF" w:rsidP="001B39BE">
      <w:pPr>
        <w:pStyle w:val="Document"/>
        <w:rPr>
          <w:rFonts w:cs="Times New Roman PS"/>
          <w:noProof w:val="0"/>
        </w:rPr>
      </w:pPr>
      <w:r w:rsidRPr="005E6068">
        <w:rPr>
          <w:rFonts w:cs="Times New Roman PS"/>
          <w:noProof w:val="0"/>
        </w:rPr>
        <w:t>In their revised draft paper, AEGS rely upon the sensitivity of executive wealth to own</w:t>
      </w:r>
      <w:r w:rsidR="000A13EF">
        <w:rPr>
          <w:rFonts w:cs="Times New Roman PS"/>
          <w:noProof w:val="0"/>
        </w:rPr>
        <w:t>-</w:t>
      </w:r>
      <w:r w:rsidRPr="005E6068">
        <w:rPr>
          <w:rFonts w:cs="Times New Roman PS"/>
          <w:noProof w:val="0"/>
        </w:rPr>
        <w:t>firm performance to determine the strength of incentives in both their panel regressions and their difference-in-differences analysis of BlackRock</w:t>
      </w:r>
      <w:r w:rsidR="00416815">
        <w:rPr>
          <w:rFonts w:cs="Times New Roman PS"/>
          <w:noProof w:val="0"/>
        </w:rPr>
        <w:t>’s</w:t>
      </w:r>
      <w:r w:rsidRPr="005E6068">
        <w:rPr>
          <w:rFonts w:cs="Times New Roman PS"/>
          <w:noProof w:val="0"/>
        </w:rPr>
        <w:t xml:space="preserve"> acquisition of BGI.</w:t>
      </w:r>
      <w:r w:rsidR="00DF0A04" w:rsidRPr="005E6068">
        <w:rPr>
          <w:rFonts w:cs="Times New Roman PS"/>
          <w:noProof w:val="0"/>
        </w:rPr>
        <w:t xml:space="preserve"> </w:t>
      </w:r>
      <w:r w:rsidRPr="005E6068">
        <w:rPr>
          <w:rFonts w:cs="Times New Roman PS"/>
          <w:noProof w:val="0"/>
        </w:rPr>
        <w:t>Doing so, of course, requires calculation of WPS associated with shares owned outright as well as outstanding equity pay grants.</w:t>
      </w:r>
      <w:r w:rsidR="00DF0A04" w:rsidRPr="005E6068">
        <w:rPr>
          <w:rFonts w:cs="Times New Roman PS"/>
          <w:noProof w:val="0"/>
        </w:rPr>
        <w:t xml:space="preserve"> </w:t>
      </w:r>
      <w:r w:rsidRPr="005E6068">
        <w:rPr>
          <w:rFonts w:cs="Times New Roman PS"/>
          <w:noProof w:val="0"/>
        </w:rPr>
        <w:t>Calculating WPS for complex</w:t>
      </w:r>
      <w:r w:rsidR="00D97953">
        <w:rPr>
          <w:rFonts w:cs="Times New Roman PS"/>
          <w:noProof w:val="0"/>
        </w:rPr>
        <w:t>,</w:t>
      </w:r>
      <w:r w:rsidRPr="005E6068">
        <w:rPr>
          <w:rFonts w:cs="Times New Roman PS"/>
          <w:noProof w:val="0"/>
        </w:rPr>
        <w:t xml:space="preserve"> performance-based equity pay awards is exceptionally challenging, however, and it is unclear how AEGS have dealt with this task</w:t>
      </w:r>
      <w:r w:rsidR="001952B9">
        <w:rPr>
          <w:rFonts w:cs="Times New Roman PS"/>
          <w:noProof w:val="0"/>
        </w:rPr>
        <w:t>.</w:t>
      </w:r>
      <w:r w:rsidR="00B24BC3">
        <w:rPr>
          <w:rFonts w:cs="Times New Roman PS"/>
          <w:noProof w:val="0"/>
        </w:rPr>
        <w:t xml:space="preserve"> </w:t>
      </w:r>
      <w:r w:rsidR="001952B9">
        <w:rPr>
          <w:rFonts w:cs="Times New Roman PS"/>
          <w:noProof w:val="0"/>
        </w:rPr>
        <w:t>It</w:t>
      </w:r>
      <w:r w:rsidRPr="005E6068">
        <w:rPr>
          <w:rFonts w:cs="Times New Roman PS"/>
          <w:noProof w:val="0"/>
        </w:rPr>
        <w:t xml:space="preserve"> is difficult to have confidence in their empirical results without having confidence in this fundamental element of the analysis.</w:t>
      </w:r>
      <w:r w:rsidRPr="00F155BE">
        <w:rPr>
          <w:rStyle w:val="NoterefInText"/>
        </w:rPr>
        <w:footnoteReference w:id="173"/>
      </w:r>
    </w:p>
    <w:p w14:paraId="768EB98C" w14:textId="449337C7" w:rsidR="00E847CF" w:rsidRPr="005E6068" w:rsidRDefault="00E847CF" w:rsidP="001B39BE">
      <w:pPr>
        <w:pStyle w:val="Document"/>
        <w:rPr>
          <w:rFonts w:cs="Times New Roman PS"/>
          <w:noProof w:val="0"/>
        </w:rPr>
      </w:pPr>
      <w:r w:rsidRPr="005E6068">
        <w:rPr>
          <w:rFonts w:cs="Times New Roman PS"/>
          <w:noProof w:val="0"/>
        </w:rPr>
        <w:t>AEGS say very little in their paper with respect to calculation of WPS.</w:t>
      </w:r>
      <w:r w:rsidR="00DF0A04" w:rsidRPr="005E6068">
        <w:rPr>
          <w:rFonts w:cs="Times New Roman PS"/>
          <w:noProof w:val="0"/>
        </w:rPr>
        <w:t xml:space="preserve"> </w:t>
      </w:r>
      <w:r w:rsidRPr="005E6068">
        <w:rPr>
          <w:rFonts w:cs="Times New Roman PS"/>
          <w:noProof w:val="0"/>
        </w:rPr>
        <w:t xml:space="preserve">They note that they follow the approach utilized by </w:t>
      </w:r>
      <w:r w:rsidR="00E93305">
        <w:rPr>
          <w:rFonts w:cs="Times New Roman PS"/>
          <w:noProof w:val="0"/>
        </w:rPr>
        <w:t xml:space="preserve">Alex </w:t>
      </w:r>
      <w:r w:rsidRPr="005E6068">
        <w:rPr>
          <w:rFonts w:cs="Times New Roman PS"/>
          <w:noProof w:val="0"/>
        </w:rPr>
        <w:t xml:space="preserve">Edmans, </w:t>
      </w:r>
      <w:r w:rsidR="00E93305">
        <w:rPr>
          <w:rFonts w:cs="Times New Roman PS"/>
          <w:noProof w:val="0"/>
        </w:rPr>
        <w:t xml:space="preserve">Xavier </w:t>
      </w:r>
      <w:r w:rsidRPr="005E6068">
        <w:rPr>
          <w:rFonts w:cs="Times New Roman PS"/>
          <w:noProof w:val="0"/>
        </w:rPr>
        <w:t xml:space="preserve">Gabaix, and </w:t>
      </w:r>
      <w:r w:rsidR="00E93305">
        <w:rPr>
          <w:rFonts w:cs="Times New Roman PS"/>
          <w:noProof w:val="0"/>
        </w:rPr>
        <w:t xml:space="preserve">Augustin </w:t>
      </w:r>
      <w:r w:rsidRPr="005E6068">
        <w:rPr>
          <w:rFonts w:cs="Times New Roman PS"/>
          <w:noProof w:val="0"/>
        </w:rPr>
        <w:t>Landier in a 2008 article.</w:t>
      </w:r>
      <w:bookmarkStart w:id="100" w:name="_Ref19694419"/>
      <w:r w:rsidRPr="00F155BE">
        <w:rPr>
          <w:rStyle w:val="NoterefInText"/>
        </w:rPr>
        <w:footnoteReference w:id="174"/>
      </w:r>
      <w:bookmarkEnd w:id="100"/>
      <w:r w:rsidR="00DF0A04" w:rsidRPr="005E6068">
        <w:rPr>
          <w:rFonts w:cs="Times New Roman PS"/>
          <w:noProof w:val="0"/>
        </w:rPr>
        <w:t xml:space="preserve"> </w:t>
      </w:r>
      <w:r w:rsidRPr="005E6068">
        <w:rPr>
          <w:rFonts w:cs="Times New Roman PS"/>
          <w:noProof w:val="0"/>
        </w:rPr>
        <w:t>Edmans, Gabaix, and Landier provide a detailed description of how they determined WPS</w:t>
      </w:r>
      <w:r w:rsidR="00F6348C">
        <w:rPr>
          <w:rFonts w:cs="Times New Roman PS"/>
          <w:noProof w:val="0"/>
        </w:rPr>
        <w:t>, which is</w:t>
      </w:r>
      <w:r w:rsidRPr="005E6068">
        <w:rPr>
          <w:rFonts w:cs="Times New Roman PS"/>
          <w:noProof w:val="0"/>
        </w:rPr>
        <w:t xml:space="preserve"> based on earlier work by Core and Guay.</w:t>
      </w:r>
      <w:bookmarkStart w:id="101" w:name="_Ref19695049"/>
      <w:r w:rsidRPr="00F155BE">
        <w:rPr>
          <w:rStyle w:val="NoterefInText"/>
        </w:rPr>
        <w:footnoteReference w:id="175"/>
      </w:r>
      <w:bookmarkEnd w:id="101"/>
      <w:r w:rsidR="00DF0A04" w:rsidRPr="005E6068">
        <w:rPr>
          <w:rFonts w:cs="Times New Roman PS"/>
          <w:noProof w:val="0"/>
        </w:rPr>
        <w:t xml:space="preserve"> </w:t>
      </w:r>
      <w:r w:rsidRPr="005E6068">
        <w:rPr>
          <w:rFonts w:cs="Times New Roman PS"/>
          <w:noProof w:val="0"/>
        </w:rPr>
        <w:t xml:space="preserve">The basic idea is this: wealth associated with a share of stock held outright or with time-vested restricted stock, assuming that the shares ultimately vest, increases or decreases </w:t>
      </w:r>
      <w:r w:rsidR="0030598F">
        <w:rPr>
          <w:rFonts w:cs="Times New Roman PS"/>
          <w:noProof w:val="0"/>
        </w:rPr>
        <w:t>dollar for dollar</w:t>
      </w:r>
      <w:r w:rsidRPr="005E6068">
        <w:rPr>
          <w:rFonts w:cs="Times New Roman PS"/>
          <w:noProof w:val="0"/>
        </w:rPr>
        <w:t xml:space="preserve"> with the company</w:t>
      </w:r>
      <w:r w:rsidR="009A645E">
        <w:rPr>
          <w:rFonts w:cs="Times New Roman PS"/>
          <w:noProof w:val="0"/>
        </w:rPr>
        <w:t>’</w:t>
      </w:r>
      <w:r w:rsidRPr="005E6068">
        <w:rPr>
          <w:rFonts w:cs="Times New Roman PS"/>
          <w:noProof w:val="0"/>
        </w:rPr>
        <w:t xml:space="preserve">s share price, but the value of an option and wealth associated with an </w:t>
      </w:r>
      <w:r w:rsidRPr="005E6068">
        <w:rPr>
          <w:rFonts w:cs="Times New Roman PS"/>
          <w:noProof w:val="0"/>
        </w:rPr>
        <w:lastRenderedPageBreak/>
        <w:t>option is related to share price in a more complex, nonlinear fashion.</w:t>
      </w:r>
      <w:r w:rsidRPr="00F155BE">
        <w:rPr>
          <w:rStyle w:val="NoterefInText"/>
        </w:rPr>
        <w:footnoteReference w:id="176"/>
      </w:r>
      <w:r w:rsidR="00DF0A04" w:rsidRPr="005E6068">
        <w:rPr>
          <w:rFonts w:cs="Times New Roman PS"/>
          <w:noProof w:val="0"/>
        </w:rPr>
        <w:t xml:space="preserve"> </w:t>
      </w:r>
      <w:r w:rsidRPr="005E6068">
        <w:rPr>
          <w:rFonts w:cs="Times New Roman PS"/>
          <w:noProof w:val="0"/>
        </w:rPr>
        <w:t xml:space="preserve">Economists use the term </w:t>
      </w:r>
      <w:r w:rsidR="009A645E">
        <w:rPr>
          <w:rFonts w:cs="Times New Roman PS"/>
          <w:noProof w:val="0"/>
        </w:rPr>
        <w:t>“</w:t>
      </w:r>
      <w:r w:rsidRPr="005E6068">
        <w:rPr>
          <w:rFonts w:cs="Times New Roman PS"/>
          <w:noProof w:val="0"/>
        </w:rPr>
        <w:t>delta</w:t>
      </w:r>
      <w:r w:rsidR="009A645E">
        <w:rPr>
          <w:rFonts w:cs="Times New Roman PS"/>
          <w:noProof w:val="0"/>
        </w:rPr>
        <w:t>”</w:t>
      </w:r>
      <w:r w:rsidRPr="005E6068">
        <w:rPr>
          <w:rFonts w:cs="Times New Roman PS"/>
          <w:noProof w:val="0"/>
        </w:rPr>
        <w:t xml:space="preserve"> to describe the change in the value of a compensation instrument arising from a small change in the underlying share price.</w:t>
      </w:r>
      <w:r w:rsidR="00DF0A04" w:rsidRPr="005E6068">
        <w:rPr>
          <w:rFonts w:cs="Times New Roman PS"/>
          <w:noProof w:val="0"/>
        </w:rPr>
        <w:t xml:space="preserve"> </w:t>
      </w:r>
      <w:r w:rsidRPr="005E6068">
        <w:rPr>
          <w:rFonts w:cs="Times New Roman PS"/>
          <w:noProof w:val="0"/>
        </w:rPr>
        <w:t>Restricted stock and stock held outright have a delta of one; options have a delta of less than one that depends on the current market price and volatility of the shares, the option exercise price, remaining time to expiration, etc.</w:t>
      </w:r>
      <w:r w:rsidR="00DF0A04" w:rsidRPr="005E6068">
        <w:rPr>
          <w:rFonts w:cs="Times New Roman PS"/>
          <w:noProof w:val="0"/>
        </w:rPr>
        <w:t xml:space="preserve"> </w:t>
      </w:r>
      <w:r w:rsidRPr="005E6068">
        <w:rPr>
          <w:rFonts w:cs="Times New Roman PS"/>
          <w:noProof w:val="0"/>
        </w:rPr>
        <w:t xml:space="preserve">Although </w:t>
      </w:r>
      <w:r w:rsidR="005E6068" w:rsidRPr="005E6068">
        <w:rPr>
          <w:rFonts w:cs="Times New Roman PS"/>
          <w:noProof w:val="0"/>
        </w:rPr>
        <w:t>complex, option</w:t>
      </w:r>
      <w:r w:rsidRPr="005E6068">
        <w:rPr>
          <w:rFonts w:cs="Times New Roman PS"/>
          <w:noProof w:val="0"/>
        </w:rPr>
        <w:t xml:space="preserve"> delta</w:t>
      </w:r>
      <w:r w:rsidR="00D33101">
        <w:rPr>
          <w:rFonts w:cs="Times New Roman PS"/>
          <w:noProof w:val="0"/>
        </w:rPr>
        <w:t>—</w:t>
      </w:r>
      <w:r w:rsidRPr="005E6068">
        <w:rPr>
          <w:rFonts w:cs="Times New Roman PS"/>
          <w:noProof w:val="0"/>
        </w:rPr>
        <w:t>like option value</w:t>
      </w:r>
      <w:r w:rsidR="00D33101">
        <w:rPr>
          <w:rFonts w:cs="Times New Roman PS"/>
          <w:noProof w:val="0"/>
        </w:rPr>
        <w:t>—</w:t>
      </w:r>
      <w:r w:rsidRPr="005E6068">
        <w:rPr>
          <w:rFonts w:cs="Times New Roman PS"/>
          <w:noProof w:val="0"/>
        </w:rPr>
        <w:t xml:space="preserve">can be easily estimated using the </w:t>
      </w:r>
      <w:r w:rsidR="00E93305">
        <w:rPr>
          <w:rFonts w:cs="Times New Roman PS"/>
          <w:noProof w:val="0"/>
        </w:rPr>
        <w:t>BSM</w:t>
      </w:r>
      <w:r w:rsidRPr="005E6068">
        <w:rPr>
          <w:rFonts w:cs="Times New Roman PS"/>
          <w:noProof w:val="0"/>
        </w:rPr>
        <w:t xml:space="preserve"> methodology.</w:t>
      </w:r>
      <w:r w:rsidRPr="00F155BE">
        <w:rPr>
          <w:rStyle w:val="NoterefInText"/>
        </w:rPr>
        <w:footnoteReference w:id="177"/>
      </w:r>
      <w:r w:rsidR="00DF0A04" w:rsidRPr="005E6068">
        <w:rPr>
          <w:rFonts w:cs="Times New Roman PS"/>
          <w:noProof w:val="0"/>
        </w:rPr>
        <w:t xml:space="preserve"> </w:t>
      </w:r>
      <w:r w:rsidRPr="005E6068">
        <w:rPr>
          <w:rFonts w:cs="Times New Roman PS"/>
          <w:noProof w:val="0"/>
        </w:rPr>
        <w:t>The sum of the delta</w:t>
      </w:r>
      <w:r w:rsidR="00E93305">
        <w:rPr>
          <w:rFonts w:cs="Times New Roman PS"/>
          <w:noProof w:val="0"/>
        </w:rPr>
        <w:t>-</w:t>
      </w:r>
      <w:r w:rsidRPr="005E6068">
        <w:rPr>
          <w:rFonts w:cs="Times New Roman PS"/>
          <w:noProof w:val="0"/>
        </w:rPr>
        <w:t>weighted shares and options held by an executive is the key input into determining WPS.</w:t>
      </w:r>
      <w:r w:rsidRPr="00F155BE">
        <w:rPr>
          <w:rStyle w:val="NoterefInText"/>
        </w:rPr>
        <w:footnoteReference w:id="178"/>
      </w:r>
      <w:r w:rsidRPr="005E6068">
        <w:rPr>
          <w:rFonts w:cs="Times New Roman PS"/>
          <w:noProof w:val="0"/>
        </w:rPr>
        <w:t xml:space="preserve"> </w:t>
      </w:r>
    </w:p>
    <w:p w14:paraId="5C711F93" w14:textId="288A03E3" w:rsidR="00E847CF" w:rsidRPr="005E6068" w:rsidRDefault="00E847CF" w:rsidP="001B39BE">
      <w:pPr>
        <w:pStyle w:val="Document"/>
        <w:rPr>
          <w:rFonts w:cs="Times New Roman PS"/>
          <w:noProof w:val="0"/>
        </w:rPr>
      </w:pPr>
      <w:r w:rsidRPr="005E6068">
        <w:rPr>
          <w:rFonts w:cs="Times New Roman PS"/>
          <w:noProof w:val="0"/>
        </w:rPr>
        <w:t>But what about performance shares?</w:t>
      </w:r>
      <w:r w:rsidR="00DF0A04" w:rsidRPr="005E6068">
        <w:rPr>
          <w:rFonts w:cs="Times New Roman PS"/>
          <w:noProof w:val="0"/>
        </w:rPr>
        <w:t xml:space="preserve"> </w:t>
      </w:r>
      <w:r w:rsidRPr="005E6068">
        <w:rPr>
          <w:rFonts w:cs="Times New Roman PS"/>
          <w:noProof w:val="0"/>
        </w:rPr>
        <w:t>Performance shares were rare when Core and Guay published their work in 2002 and had only recently become important at the end of the period studied by Edmans, Gabaix, and Landier.</w:t>
      </w:r>
      <w:r w:rsidRPr="00F155BE">
        <w:rPr>
          <w:rStyle w:val="NoterefInText"/>
        </w:rPr>
        <w:footnoteReference w:id="179"/>
      </w:r>
      <w:r w:rsidR="00DF0A04" w:rsidRPr="005E6068">
        <w:rPr>
          <w:rFonts w:cs="Times New Roman PS"/>
          <w:noProof w:val="0"/>
        </w:rPr>
        <w:t xml:space="preserve"> </w:t>
      </w:r>
      <w:r w:rsidRPr="005E6068">
        <w:rPr>
          <w:rFonts w:cs="Times New Roman PS"/>
          <w:noProof w:val="0"/>
        </w:rPr>
        <w:t xml:space="preserve">Neither of these articles discusses performance </w:t>
      </w:r>
      <w:r w:rsidR="005E6068" w:rsidRPr="005E6068">
        <w:rPr>
          <w:rFonts w:cs="Times New Roman PS"/>
          <w:noProof w:val="0"/>
        </w:rPr>
        <w:t>shares</w:t>
      </w:r>
      <w:r w:rsidR="001952B9">
        <w:rPr>
          <w:rFonts w:cs="Times New Roman PS"/>
          <w:noProof w:val="0"/>
        </w:rPr>
        <w:t>.</w:t>
      </w:r>
      <w:r w:rsidR="00B24BC3">
        <w:rPr>
          <w:rFonts w:cs="Times New Roman PS"/>
          <w:noProof w:val="0"/>
        </w:rPr>
        <w:t xml:space="preserve"> </w:t>
      </w:r>
      <w:r w:rsidR="001952B9">
        <w:rPr>
          <w:rFonts w:cs="Times New Roman PS"/>
          <w:noProof w:val="0"/>
        </w:rPr>
        <w:t>Both articles</w:t>
      </w:r>
      <w:r w:rsidRPr="005E6068">
        <w:rPr>
          <w:rFonts w:cs="Times New Roman PS"/>
          <w:noProof w:val="0"/>
        </w:rPr>
        <w:t xml:space="preserve"> focus exclusively on stock (deemed to be time-vested only by implication) and conventional compensatory options.</w:t>
      </w:r>
      <w:r w:rsidRPr="00F155BE">
        <w:rPr>
          <w:rStyle w:val="NoterefInText"/>
        </w:rPr>
        <w:footnoteReference w:id="180"/>
      </w:r>
      <w:r w:rsidR="00DF0A04" w:rsidRPr="005E6068">
        <w:rPr>
          <w:rFonts w:cs="Times New Roman PS"/>
          <w:noProof w:val="0"/>
        </w:rPr>
        <w:t xml:space="preserve"> </w:t>
      </w:r>
      <w:r w:rsidRPr="005E6068">
        <w:rPr>
          <w:rFonts w:cs="Times New Roman PS"/>
          <w:noProof w:val="0"/>
        </w:rPr>
        <w:t>But unlike time-vested restricted stock, performance shares do not have delta equal to one.</w:t>
      </w:r>
      <w:r w:rsidRPr="00F155BE">
        <w:rPr>
          <w:rStyle w:val="NoterefInText"/>
        </w:rPr>
        <w:footnoteReference w:id="181"/>
      </w:r>
      <w:r w:rsidR="00DF0A04" w:rsidRPr="005E6068">
        <w:rPr>
          <w:rFonts w:cs="Times New Roman PS"/>
          <w:noProof w:val="0"/>
        </w:rPr>
        <w:t xml:space="preserve"> </w:t>
      </w:r>
      <w:r w:rsidRPr="005E6068">
        <w:rPr>
          <w:rFonts w:cs="Times New Roman PS"/>
          <w:noProof w:val="0"/>
        </w:rPr>
        <w:t>And, of course, performance shares now dominate the equity pay landscape.</w:t>
      </w:r>
    </w:p>
    <w:p w14:paraId="7AD54402" w14:textId="299C9DD1" w:rsidR="00E847CF" w:rsidRPr="005E6068" w:rsidRDefault="00E847CF" w:rsidP="001B39BE">
      <w:pPr>
        <w:pStyle w:val="Document"/>
        <w:rPr>
          <w:rFonts w:cs="Times New Roman PS"/>
          <w:noProof w:val="0"/>
        </w:rPr>
      </w:pPr>
      <w:r w:rsidRPr="005E6068">
        <w:rPr>
          <w:rFonts w:cs="Times New Roman PS"/>
          <w:noProof w:val="0"/>
        </w:rPr>
        <w:t>Like determining value, determining the incentive characteristics of performance</w:t>
      </w:r>
      <w:r w:rsidR="0053337A">
        <w:rPr>
          <w:rFonts w:cs="Times New Roman PS"/>
          <w:noProof w:val="0"/>
        </w:rPr>
        <w:t xml:space="preserve"> </w:t>
      </w:r>
      <w:r w:rsidRPr="005E6068">
        <w:rPr>
          <w:rFonts w:cs="Times New Roman PS"/>
          <w:noProof w:val="0"/>
        </w:rPr>
        <w:t>share grants is exceptionally complex.</w:t>
      </w:r>
      <w:r w:rsidR="00DF0A04" w:rsidRPr="005E6068">
        <w:rPr>
          <w:rFonts w:cs="Times New Roman PS"/>
          <w:noProof w:val="0"/>
        </w:rPr>
        <w:t xml:space="preserve"> </w:t>
      </w:r>
      <w:r w:rsidRPr="005E6068">
        <w:rPr>
          <w:rFonts w:cs="Times New Roman PS"/>
          <w:noProof w:val="0"/>
        </w:rPr>
        <w:t>The complexity arises from the variable award schedule that is a function of absolute or relative performance (or both) with respect to market, accounting, or other measures.</w:t>
      </w:r>
      <w:r w:rsidRPr="00F155BE">
        <w:rPr>
          <w:rStyle w:val="NoterefInText"/>
        </w:rPr>
        <w:footnoteReference w:id="182"/>
      </w:r>
      <w:r w:rsidR="00DF0A04" w:rsidRPr="005E6068">
        <w:rPr>
          <w:rFonts w:cs="Times New Roman PS"/>
          <w:noProof w:val="0"/>
        </w:rPr>
        <w:t xml:space="preserve"> </w:t>
      </w:r>
      <w:r w:rsidRPr="005E6068">
        <w:rPr>
          <w:rFonts w:cs="Times New Roman PS"/>
          <w:noProof w:val="0"/>
        </w:rPr>
        <w:t>Moreover, while companies are required to disclose an ex ante value for these awards, they are not required to disclose their incentive characteristics.</w:t>
      </w:r>
      <w:r w:rsidR="00DF0A04" w:rsidRPr="005E6068">
        <w:rPr>
          <w:rFonts w:cs="Times New Roman PS"/>
          <w:noProof w:val="0"/>
        </w:rPr>
        <w:t xml:space="preserve"> </w:t>
      </w:r>
    </w:p>
    <w:p w14:paraId="629EF95C" w14:textId="73831FBC" w:rsidR="00E847CF" w:rsidRPr="005E6068" w:rsidRDefault="00E847CF" w:rsidP="001B39BE">
      <w:pPr>
        <w:pStyle w:val="Document"/>
        <w:rPr>
          <w:rFonts w:cs="Times New Roman PS"/>
          <w:noProof w:val="0"/>
        </w:rPr>
      </w:pPr>
      <w:r w:rsidRPr="005E6068">
        <w:rPr>
          <w:rFonts w:cs="Times New Roman PS"/>
          <w:noProof w:val="0"/>
        </w:rPr>
        <w:t>The difficulty of determining incentive characteristics is multiplied when awards are based on multiple metrics, which is increasingly the case.</w:t>
      </w:r>
      <w:r w:rsidR="00DF0A04" w:rsidRPr="005E6068">
        <w:rPr>
          <w:rFonts w:cs="Times New Roman PS"/>
          <w:noProof w:val="0"/>
        </w:rPr>
        <w:t xml:space="preserve"> </w:t>
      </w:r>
      <w:r w:rsidRPr="005E6068">
        <w:rPr>
          <w:rFonts w:cs="Times New Roman PS"/>
          <w:noProof w:val="0"/>
        </w:rPr>
        <w:t>Recognizing these challenges, Bettis, Bizjak, Coles</w:t>
      </w:r>
      <w:r w:rsidR="00690005">
        <w:rPr>
          <w:rFonts w:cs="Times New Roman PS"/>
          <w:noProof w:val="0"/>
        </w:rPr>
        <w:t>,</w:t>
      </w:r>
      <w:r w:rsidRPr="005E6068">
        <w:rPr>
          <w:rFonts w:cs="Times New Roman PS"/>
          <w:noProof w:val="0"/>
        </w:rPr>
        <w:t xml:space="preserve"> and Kalpathy elect to analyze the value and incentive characteristics of a limited subset of performance awards that include only a single, absolute performance metric.</w:t>
      </w:r>
      <w:r w:rsidRPr="00F155BE">
        <w:rPr>
          <w:rStyle w:val="NoterefInText"/>
        </w:rPr>
        <w:footnoteReference w:id="183"/>
      </w:r>
      <w:r w:rsidR="00DF0A04" w:rsidRPr="005E6068">
        <w:rPr>
          <w:rFonts w:cs="Times New Roman PS"/>
          <w:noProof w:val="0"/>
        </w:rPr>
        <w:t xml:space="preserve"> </w:t>
      </w:r>
      <w:r w:rsidRPr="005E6068">
        <w:rPr>
          <w:rFonts w:cs="Times New Roman PS"/>
          <w:noProof w:val="0"/>
        </w:rPr>
        <w:t>Even for this restricted sample of grants, they find it necessary to develop new simulation methods to study these awards</w:t>
      </w:r>
      <w:r w:rsidR="00B6250B" w:rsidRPr="005E6068">
        <w:rPr>
          <w:rFonts w:cs="Times New Roman PS"/>
          <w:noProof w:val="0"/>
        </w:rPr>
        <w:t xml:space="preserve">. </w:t>
      </w:r>
      <w:r w:rsidRPr="005E6068">
        <w:rPr>
          <w:rFonts w:cs="Times New Roman PS"/>
          <w:noProof w:val="0"/>
        </w:rPr>
        <w:t>Having done so, they find that the addition of performance</w:t>
      </w:r>
      <w:r w:rsidR="00D33101">
        <w:rPr>
          <w:rFonts w:cs="Times New Roman PS"/>
          <w:noProof w:val="0"/>
        </w:rPr>
        <w:t>-</w:t>
      </w:r>
      <w:r w:rsidRPr="005E6068">
        <w:rPr>
          <w:rFonts w:cs="Times New Roman PS"/>
          <w:noProof w:val="0"/>
        </w:rPr>
        <w:t>vesting conditions amplifies incentives to increase shareholder value (i.e., increase</w:t>
      </w:r>
      <w:r w:rsidR="00F6348C">
        <w:rPr>
          <w:rFonts w:cs="Times New Roman PS"/>
          <w:noProof w:val="0"/>
        </w:rPr>
        <w:t>s</w:t>
      </w:r>
      <w:r w:rsidRPr="005E6068">
        <w:rPr>
          <w:rFonts w:cs="Times New Roman PS"/>
          <w:noProof w:val="0"/>
        </w:rPr>
        <w:t xml:space="preserve"> compensation delta) versus purely time-vested restricted stock.</w:t>
      </w:r>
      <w:r w:rsidRPr="00F155BE">
        <w:rPr>
          <w:rStyle w:val="NoterefInText"/>
        </w:rPr>
        <w:footnoteReference w:id="184"/>
      </w:r>
      <w:r w:rsidR="00DF0A04" w:rsidRPr="005E6068">
        <w:rPr>
          <w:rFonts w:cs="Times New Roman PS"/>
          <w:noProof w:val="0"/>
        </w:rPr>
        <w:t xml:space="preserve"> </w:t>
      </w:r>
      <w:r w:rsidRPr="005E6068">
        <w:rPr>
          <w:rFonts w:cs="Times New Roman PS"/>
          <w:noProof w:val="0"/>
        </w:rPr>
        <w:t xml:space="preserve">Although they limit their analysis to single, absolute metric </w:t>
      </w:r>
      <w:r w:rsidRPr="005E6068">
        <w:rPr>
          <w:rFonts w:cs="Times New Roman PS"/>
          <w:noProof w:val="0"/>
        </w:rPr>
        <w:lastRenderedPageBreak/>
        <w:t>awards, there is no reason to think that the outcome would be directionally different for more complex award types.</w:t>
      </w:r>
    </w:p>
    <w:p w14:paraId="07D12959" w14:textId="77777777" w:rsidR="00E847CF" w:rsidRPr="005E6068" w:rsidRDefault="00E847CF" w:rsidP="001B39BE">
      <w:pPr>
        <w:pStyle w:val="Document"/>
        <w:rPr>
          <w:rFonts w:cs="Times New Roman PS"/>
          <w:noProof w:val="0"/>
        </w:rPr>
      </w:pPr>
      <w:r w:rsidRPr="005E6068">
        <w:rPr>
          <w:rFonts w:cs="Times New Roman PS"/>
          <w:noProof w:val="0"/>
        </w:rPr>
        <w:t>The upshot is that the WPS associated with performance shares is likely to be significantly different, and likely greater, than that associated with time-vested restricted stock, but the impact is a function of the metrics and benchmarks employed.</w:t>
      </w:r>
      <w:r w:rsidR="00DF0A04" w:rsidRPr="005E6068">
        <w:rPr>
          <w:rFonts w:cs="Times New Roman PS"/>
          <w:noProof w:val="0"/>
        </w:rPr>
        <w:t xml:space="preserve"> </w:t>
      </w:r>
      <w:r w:rsidRPr="005E6068">
        <w:rPr>
          <w:rFonts w:cs="Times New Roman PS"/>
          <w:noProof w:val="0"/>
        </w:rPr>
        <w:t>In cases in which companies employ a combination of absolute and relative performance metrics, it will be exceptionally challenging to determine the delta and WPS associated with these grants.</w:t>
      </w:r>
      <w:r w:rsidR="00DF0A04" w:rsidRPr="005E6068">
        <w:rPr>
          <w:rFonts w:cs="Times New Roman PS"/>
          <w:noProof w:val="0"/>
        </w:rPr>
        <w:t xml:space="preserve"> </w:t>
      </w:r>
    </w:p>
    <w:p w14:paraId="7E2BF686" w14:textId="69F770F2" w:rsidR="00E847CF" w:rsidRPr="005E6068" w:rsidRDefault="00E847CF" w:rsidP="001B39BE">
      <w:pPr>
        <w:pStyle w:val="Document"/>
        <w:rPr>
          <w:rFonts w:cs="Times New Roman PS"/>
          <w:noProof w:val="0"/>
        </w:rPr>
      </w:pPr>
      <w:r w:rsidRPr="005E6068">
        <w:rPr>
          <w:rFonts w:cs="Times New Roman PS"/>
          <w:noProof w:val="0"/>
        </w:rPr>
        <w:t>If AEGS apply delta of one to all stock grants, whether time</w:t>
      </w:r>
      <w:r w:rsidR="00D02DB4">
        <w:rPr>
          <w:rFonts w:cs="Times New Roman PS"/>
          <w:noProof w:val="0"/>
        </w:rPr>
        <w:t>-</w:t>
      </w:r>
      <w:r w:rsidRPr="005E6068">
        <w:rPr>
          <w:rFonts w:cs="Times New Roman PS"/>
          <w:noProof w:val="0"/>
        </w:rPr>
        <w:t>vested alone or performance</w:t>
      </w:r>
      <w:r w:rsidR="00385C86">
        <w:rPr>
          <w:rFonts w:cs="Times New Roman PS"/>
          <w:noProof w:val="0"/>
        </w:rPr>
        <w:t>-</w:t>
      </w:r>
      <w:r w:rsidRPr="005E6068">
        <w:rPr>
          <w:rFonts w:cs="Times New Roman PS"/>
          <w:noProof w:val="0"/>
        </w:rPr>
        <w:t>vested, it is likely that they will have misestimated WPS associated with performance shares.</w:t>
      </w:r>
      <w:r w:rsidR="00DF0A04" w:rsidRPr="005E6068">
        <w:rPr>
          <w:rFonts w:cs="Times New Roman PS"/>
          <w:noProof w:val="0"/>
        </w:rPr>
        <w:t xml:space="preserve"> </w:t>
      </w:r>
      <w:r w:rsidRPr="005E6068">
        <w:rPr>
          <w:rFonts w:cs="Times New Roman PS"/>
          <w:noProof w:val="0"/>
        </w:rPr>
        <w:t>Such misestimation is likely to be particularly significant for recent periods, including the years surrounding the BlackRock</w:t>
      </w:r>
      <w:r w:rsidR="00385C86">
        <w:rPr>
          <w:rFonts w:cs="Times New Roman PS"/>
          <w:noProof w:val="0"/>
        </w:rPr>
        <w:t>/</w:t>
      </w:r>
      <w:r w:rsidRPr="005E6068">
        <w:rPr>
          <w:rFonts w:cs="Times New Roman PS"/>
          <w:noProof w:val="0"/>
        </w:rPr>
        <w:t>BGI merger, in which performance</w:t>
      </w:r>
      <w:r w:rsidR="0053337A">
        <w:rPr>
          <w:rFonts w:cs="Times New Roman PS"/>
          <w:noProof w:val="0"/>
        </w:rPr>
        <w:t xml:space="preserve"> </w:t>
      </w:r>
      <w:r w:rsidRPr="005E6068">
        <w:rPr>
          <w:rFonts w:cs="Times New Roman PS"/>
          <w:noProof w:val="0"/>
        </w:rPr>
        <w:t>share awards have been prevalent.</w:t>
      </w:r>
      <w:r w:rsidR="00DF0A04" w:rsidRPr="005E6068">
        <w:rPr>
          <w:rFonts w:cs="Times New Roman PS"/>
          <w:noProof w:val="0"/>
        </w:rPr>
        <w:t xml:space="preserve"> </w:t>
      </w:r>
    </w:p>
    <w:p w14:paraId="779D5F8C" w14:textId="1F0A84C7" w:rsidR="00E847CF" w:rsidRPr="005E6068" w:rsidRDefault="00E847CF" w:rsidP="00D97953">
      <w:pPr>
        <w:pStyle w:val="SubHead1"/>
      </w:pPr>
      <w:bookmarkStart w:id="102" w:name="_Toc16064719"/>
      <w:bookmarkStart w:id="103" w:name="_Toc23780680"/>
      <w:r w:rsidRPr="005E6068">
        <w:t>IV.</w:t>
      </w:r>
      <w:r w:rsidR="00247A8B" w:rsidRPr="005E6068">
        <w:tab/>
      </w:r>
      <w:r w:rsidRPr="005E6068">
        <w:t>Toward an Improved Empirical Strategy</w:t>
      </w:r>
      <w:bookmarkEnd w:id="102"/>
      <w:bookmarkEnd w:id="103"/>
    </w:p>
    <w:p w14:paraId="6B677B36" w14:textId="23A3EE6F" w:rsidR="00E847CF" w:rsidRPr="005E6068" w:rsidRDefault="00E847CF" w:rsidP="001B39BE">
      <w:pPr>
        <w:pStyle w:val="Document"/>
        <w:rPr>
          <w:rFonts w:cs="Times New Roman PS"/>
          <w:noProof w:val="0"/>
        </w:rPr>
      </w:pPr>
      <w:r w:rsidRPr="005E6068">
        <w:rPr>
          <w:rFonts w:cs="Times New Roman PS"/>
          <w:noProof w:val="0"/>
        </w:rPr>
        <w:t xml:space="preserve">For the reasons discussed above, it seems unlikely that a negative causal relationship </w:t>
      </w:r>
      <w:r w:rsidR="00B67FDE" w:rsidRPr="005E6068">
        <w:rPr>
          <w:rFonts w:cs="Times New Roman PS"/>
          <w:noProof w:val="0"/>
        </w:rPr>
        <w:t xml:space="preserve">exists </w:t>
      </w:r>
      <w:r w:rsidRPr="005E6068">
        <w:rPr>
          <w:rFonts w:cs="Times New Roman PS"/>
          <w:noProof w:val="0"/>
        </w:rPr>
        <w:t xml:space="preserve">between </w:t>
      </w:r>
      <w:r w:rsidR="004721A5" w:rsidRPr="005E6068">
        <w:rPr>
          <w:rFonts w:cs="Times New Roman PS"/>
          <w:noProof w:val="0"/>
        </w:rPr>
        <w:t>institutional</w:t>
      </w:r>
      <w:r w:rsidR="0053337A">
        <w:rPr>
          <w:rFonts w:cs="Times New Roman PS"/>
          <w:noProof w:val="0"/>
        </w:rPr>
        <w:t xml:space="preserve"> </w:t>
      </w:r>
      <w:r w:rsidRPr="005E6068">
        <w:rPr>
          <w:rFonts w:cs="Times New Roman PS"/>
          <w:noProof w:val="0"/>
        </w:rPr>
        <w:t>investor common ownership within an industry and the strength of executive incentives.</w:t>
      </w:r>
      <w:r w:rsidR="00DF0A04" w:rsidRPr="005E6068">
        <w:rPr>
          <w:rFonts w:cs="Times New Roman PS"/>
          <w:noProof w:val="0"/>
        </w:rPr>
        <w:t xml:space="preserve"> </w:t>
      </w:r>
      <w:r w:rsidRPr="005E6068">
        <w:rPr>
          <w:rFonts w:cs="Times New Roman PS"/>
          <w:noProof w:val="0"/>
        </w:rPr>
        <w:t>Unfortunately, the empirical strategies used to date have not been sufficient to establish the presence of such an association or the lack thereof.</w:t>
      </w:r>
      <w:r w:rsidR="00DF0A04" w:rsidRPr="005E6068">
        <w:rPr>
          <w:rFonts w:cs="Times New Roman PS"/>
          <w:noProof w:val="0"/>
        </w:rPr>
        <w:t xml:space="preserve"> </w:t>
      </w:r>
      <w:r w:rsidRPr="005E6068">
        <w:rPr>
          <w:rFonts w:cs="Times New Roman PS"/>
          <w:noProof w:val="0"/>
        </w:rPr>
        <w:t>This is an important gap since executive incentives are generally viewed as one of the more plausible mechanisms underpinning the broader claim of a link between common ownership and reduced competition.</w:t>
      </w:r>
      <w:r w:rsidR="00DF0A04" w:rsidRPr="005E6068">
        <w:rPr>
          <w:rFonts w:cs="Times New Roman PS"/>
          <w:noProof w:val="0"/>
        </w:rPr>
        <w:t xml:space="preserve"> </w:t>
      </w:r>
      <w:r w:rsidRPr="005E6068">
        <w:rPr>
          <w:rFonts w:cs="Times New Roman PS"/>
          <w:noProof w:val="0"/>
        </w:rPr>
        <w:t>In the spirit of advancing the empirical analyses and resolving this important question, this Part offers some suggestions with respect to the executive</w:t>
      </w:r>
      <w:r w:rsidR="00EB7898">
        <w:rPr>
          <w:rFonts w:cs="Times New Roman PS"/>
          <w:noProof w:val="0"/>
        </w:rPr>
        <w:t>-</w:t>
      </w:r>
      <w:r w:rsidRPr="005E6068">
        <w:rPr>
          <w:rFonts w:cs="Times New Roman PS"/>
          <w:noProof w:val="0"/>
        </w:rPr>
        <w:t>incentive side of the equation.</w:t>
      </w:r>
    </w:p>
    <w:p w14:paraId="7BEEC278" w14:textId="518C818C" w:rsidR="00E847CF" w:rsidRPr="005E6068" w:rsidRDefault="00E847CF" w:rsidP="001B39BE">
      <w:pPr>
        <w:pStyle w:val="Document"/>
        <w:rPr>
          <w:rFonts w:cs="Times New Roman PS"/>
          <w:noProof w:val="0"/>
        </w:rPr>
      </w:pPr>
      <w:r w:rsidRPr="005E6068">
        <w:rPr>
          <w:rFonts w:cs="Times New Roman PS"/>
          <w:noProof w:val="0"/>
        </w:rPr>
        <w:t>First, tests for a link between common ownership and executive incentives based on RPE seem more promising than tests based on WPS from both a theoretical and an empirical perspective.</w:t>
      </w:r>
      <w:r w:rsidR="00DF0A04" w:rsidRPr="005E6068">
        <w:rPr>
          <w:rFonts w:cs="Times New Roman PS"/>
          <w:noProof w:val="0"/>
        </w:rPr>
        <w:t xml:space="preserve"> </w:t>
      </w:r>
      <w:r w:rsidRPr="005E6068">
        <w:rPr>
          <w:rFonts w:cs="Times New Roman PS"/>
          <w:noProof w:val="0"/>
        </w:rPr>
        <w:t>From a theoretical perspective, it makes more sense that common owners would favor strong performance-based incentives that lack RPE than weak incentives generally.</w:t>
      </w:r>
      <w:r w:rsidRPr="00F155BE">
        <w:rPr>
          <w:rStyle w:val="NoterefInText"/>
        </w:rPr>
        <w:footnoteReference w:id="185"/>
      </w:r>
      <w:r w:rsidR="00B24BC3">
        <w:rPr>
          <w:rFonts w:cs="Times New Roman PS"/>
          <w:noProof w:val="0"/>
        </w:rPr>
        <w:t xml:space="preserve"> </w:t>
      </w:r>
      <w:r w:rsidR="00883CC5">
        <w:rPr>
          <w:rFonts w:cs="Times New Roman PS"/>
          <w:noProof w:val="0"/>
        </w:rPr>
        <w:t>Generally</w:t>
      </w:r>
      <w:r w:rsidR="001A730B">
        <w:rPr>
          <w:rFonts w:cs="Times New Roman PS"/>
          <w:noProof w:val="0"/>
        </w:rPr>
        <w:t>,</w:t>
      </w:r>
      <w:r w:rsidR="00883CC5">
        <w:rPr>
          <w:rFonts w:cs="Times New Roman PS"/>
          <w:noProof w:val="0"/>
        </w:rPr>
        <w:t xml:space="preserve"> weak incentives are</w:t>
      </w:r>
      <w:r w:rsidRPr="005E6068">
        <w:rPr>
          <w:rFonts w:cs="Times New Roman PS"/>
          <w:noProof w:val="0"/>
        </w:rPr>
        <w:t xml:space="preserve"> simply too blunt an instrument for deterring competition.</w:t>
      </w:r>
      <w:r w:rsidR="00DF0A04" w:rsidRPr="005E6068">
        <w:rPr>
          <w:rFonts w:cs="Times New Roman PS"/>
          <w:noProof w:val="0"/>
        </w:rPr>
        <w:t xml:space="preserve"> </w:t>
      </w:r>
      <w:r w:rsidRPr="005E6068">
        <w:rPr>
          <w:rFonts w:cs="Times New Roman PS"/>
          <w:noProof w:val="0"/>
        </w:rPr>
        <w:t>Also, it is easier to adjust RPE than WPS over the short or medium term.</w:t>
      </w:r>
      <w:r w:rsidR="00DF0A04" w:rsidRPr="005E6068">
        <w:rPr>
          <w:rFonts w:cs="Times New Roman PS"/>
          <w:noProof w:val="0"/>
        </w:rPr>
        <w:t xml:space="preserve"> </w:t>
      </w:r>
      <w:r w:rsidRPr="005E6068">
        <w:rPr>
          <w:rFonts w:cs="Times New Roman PS"/>
          <w:noProof w:val="0"/>
        </w:rPr>
        <w:t>Given all of this, one would think that an empirical strategy focusing on RPE would be more likely to produce an association between common</w:t>
      </w:r>
      <w:r w:rsidR="0053337A">
        <w:rPr>
          <w:rFonts w:cs="Times New Roman PS"/>
          <w:noProof w:val="0"/>
        </w:rPr>
        <w:t xml:space="preserve"> </w:t>
      </w:r>
      <w:r w:rsidRPr="005E6068">
        <w:rPr>
          <w:rFonts w:cs="Times New Roman PS"/>
          <w:noProof w:val="0"/>
        </w:rPr>
        <w:t>ownership levels and executive incentives, if an association is to be found.</w:t>
      </w:r>
      <w:r w:rsidR="00DF0A04" w:rsidRPr="005E6068">
        <w:rPr>
          <w:rFonts w:cs="Times New Roman PS"/>
          <w:noProof w:val="0"/>
        </w:rPr>
        <w:t xml:space="preserve"> </w:t>
      </w:r>
    </w:p>
    <w:p w14:paraId="16FBB6EC" w14:textId="6DA17F78" w:rsidR="00F6348C" w:rsidRDefault="00E847CF" w:rsidP="008266B0">
      <w:pPr>
        <w:pStyle w:val="Document"/>
        <w:rPr>
          <w:rFonts w:cs="Times New Roman PS"/>
          <w:noProof w:val="0"/>
        </w:rPr>
      </w:pPr>
      <w:r w:rsidRPr="005E6068">
        <w:rPr>
          <w:rFonts w:cs="Times New Roman PS"/>
          <w:noProof w:val="0"/>
        </w:rPr>
        <w:t>But both approaches present empirical challenges.</w:t>
      </w:r>
      <w:r w:rsidR="00DF0A04" w:rsidRPr="005E6068">
        <w:rPr>
          <w:rFonts w:cs="Times New Roman PS"/>
          <w:noProof w:val="0"/>
        </w:rPr>
        <w:t xml:space="preserve"> </w:t>
      </w:r>
      <w:r w:rsidRPr="005E6068">
        <w:rPr>
          <w:rFonts w:cs="Times New Roman PS"/>
          <w:noProof w:val="0"/>
        </w:rPr>
        <w:t>For RPE-based approaches, there is the problem</w:t>
      </w:r>
      <w:r w:rsidR="00687957" w:rsidRPr="005E6068">
        <w:rPr>
          <w:rFonts w:cs="Times New Roman PS"/>
          <w:noProof w:val="0"/>
        </w:rPr>
        <w:t xml:space="preserve"> </w:t>
      </w:r>
      <w:r w:rsidRPr="005E6068">
        <w:rPr>
          <w:rFonts w:cs="Times New Roman PS"/>
          <w:noProof w:val="0"/>
        </w:rPr>
        <w:t>that RPE can be implicit</w:t>
      </w:r>
      <w:r w:rsidR="00EB7898">
        <w:rPr>
          <w:rFonts w:cs="Times New Roman PS"/>
          <w:noProof w:val="0"/>
        </w:rPr>
        <w:t xml:space="preserve">, </w:t>
      </w:r>
      <w:r w:rsidRPr="005E6068">
        <w:rPr>
          <w:rFonts w:cs="Times New Roman PS"/>
          <w:noProof w:val="0"/>
        </w:rPr>
        <w:t>explicit</w:t>
      </w:r>
      <w:r w:rsidR="00EB7898">
        <w:rPr>
          <w:rFonts w:cs="Times New Roman PS"/>
          <w:noProof w:val="0"/>
        </w:rPr>
        <w:t>,</w:t>
      </w:r>
      <w:r w:rsidRPr="005E6068">
        <w:rPr>
          <w:rFonts w:cs="Times New Roman PS"/>
          <w:noProof w:val="0"/>
        </w:rPr>
        <w:t xml:space="preserve"> or both.</w:t>
      </w:r>
      <w:r w:rsidR="00DF0A04" w:rsidRPr="005E6068">
        <w:rPr>
          <w:rFonts w:cs="Times New Roman PS"/>
          <w:noProof w:val="0"/>
        </w:rPr>
        <w:t xml:space="preserve"> </w:t>
      </w:r>
      <w:r w:rsidRPr="005E6068">
        <w:rPr>
          <w:rFonts w:cs="Times New Roman PS"/>
          <w:noProof w:val="0"/>
        </w:rPr>
        <w:t>An improved empirical methodology must account for both implicit and explicit RPE.</w:t>
      </w:r>
      <w:r w:rsidR="00DF0A04" w:rsidRPr="005E6068">
        <w:rPr>
          <w:rFonts w:cs="Times New Roman PS"/>
          <w:noProof w:val="0"/>
        </w:rPr>
        <w:t xml:space="preserve"> </w:t>
      </w:r>
      <w:r w:rsidRPr="005E6068">
        <w:rPr>
          <w:rFonts w:cs="Times New Roman PS"/>
          <w:noProof w:val="0"/>
        </w:rPr>
        <w:t xml:space="preserve">As discussed above, determining the sensitivity of total compensation to own-firm and rival-firm performance is an appropriate means of gauging </w:t>
      </w:r>
      <w:r w:rsidRPr="005E6068">
        <w:rPr>
          <w:rFonts w:cs="Times New Roman PS"/>
          <w:noProof w:val="0"/>
        </w:rPr>
        <w:lastRenderedPageBreak/>
        <w:t>implicit RPE</w:t>
      </w:r>
      <w:r w:rsidR="001F16F2" w:rsidRPr="005E6068">
        <w:rPr>
          <w:rFonts w:cs="Times New Roman PS"/>
          <w:noProof w:val="0"/>
        </w:rPr>
        <w:t xml:space="preserve">, </w:t>
      </w:r>
      <w:r w:rsidR="00637D22" w:rsidRPr="005E6068">
        <w:rPr>
          <w:rFonts w:cs="Times New Roman PS"/>
          <w:noProof w:val="0"/>
        </w:rPr>
        <w:t>b</w:t>
      </w:r>
      <w:r w:rsidRPr="005E6068">
        <w:rPr>
          <w:rFonts w:cs="Times New Roman PS"/>
          <w:noProof w:val="0"/>
        </w:rPr>
        <w:t>ut explicit RPE likely dominates in recent years, and it is difficult to quantify the economic magnitude of explicit RPE features of equity awards.</w:t>
      </w:r>
      <w:r w:rsidRPr="00F155BE">
        <w:rPr>
          <w:rStyle w:val="NoterefInText"/>
        </w:rPr>
        <w:footnoteReference w:id="186"/>
      </w:r>
      <w:r w:rsidR="00DF0A04" w:rsidRPr="005E6068">
        <w:rPr>
          <w:rFonts w:cs="Times New Roman PS"/>
          <w:noProof w:val="0"/>
        </w:rPr>
        <w:t xml:space="preserve"> </w:t>
      </w:r>
      <w:r w:rsidRPr="005E6068">
        <w:rPr>
          <w:rFonts w:cs="Times New Roman PS"/>
          <w:noProof w:val="0"/>
        </w:rPr>
        <w:t>DeSimone tests for a relationship between common ownership and firm use of explicit RPE, defined as any RPE-based award granted in a firm-year, and the relative size of RPE grants, measured as the grant</w:t>
      </w:r>
      <w:r w:rsidR="008266B0">
        <w:rPr>
          <w:rFonts w:cs="Times New Roman PS"/>
          <w:noProof w:val="0"/>
        </w:rPr>
        <w:t>-</w:t>
      </w:r>
      <w:r w:rsidRPr="005E6068">
        <w:rPr>
          <w:rFonts w:cs="Times New Roman PS"/>
          <w:noProof w:val="0"/>
        </w:rPr>
        <w:t>date value of awards that include RPE metrics as a fraction of the grant</w:t>
      </w:r>
      <w:r w:rsidR="008266B0">
        <w:rPr>
          <w:rFonts w:cs="Times New Roman PS"/>
          <w:noProof w:val="0"/>
        </w:rPr>
        <w:t>-</w:t>
      </w:r>
      <w:r w:rsidRPr="005E6068">
        <w:rPr>
          <w:rFonts w:cs="Times New Roman PS"/>
          <w:noProof w:val="0"/>
        </w:rPr>
        <w:t>date value of all long-term incentive awards.</w:t>
      </w:r>
      <w:r w:rsidRPr="00F155BE">
        <w:rPr>
          <w:rStyle w:val="NoterefInText"/>
        </w:rPr>
        <w:footnoteReference w:id="187"/>
      </w:r>
      <w:r w:rsidR="00DF0A04" w:rsidRPr="005E6068">
        <w:rPr>
          <w:rFonts w:cs="Times New Roman PS"/>
          <w:noProof w:val="0"/>
        </w:rPr>
        <w:t xml:space="preserve"> </w:t>
      </w:r>
      <w:r w:rsidRPr="005E6068">
        <w:rPr>
          <w:rFonts w:cs="Times New Roman PS"/>
          <w:noProof w:val="0"/>
        </w:rPr>
        <w:t>This is a good start, but even the latter measure is only a rough proxy for the incentive effects of RPE awards (and, of course, only accounts for explicit RPE).</w:t>
      </w:r>
      <w:r w:rsidR="00DF0A04" w:rsidRPr="005E6068">
        <w:rPr>
          <w:rFonts w:cs="Times New Roman PS"/>
          <w:noProof w:val="0"/>
        </w:rPr>
        <w:t xml:space="preserve"> </w:t>
      </w:r>
      <w:r w:rsidRPr="005E6068">
        <w:rPr>
          <w:rFonts w:cs="Times New Roman PS"/>
          <w:noProof w:val="0"/>
        </w:rPr>
        <w:t>The RPE feature or features of a particular award can be central or they can be trivial.</w:t>
      </w:r>
      <w:r w:rsidR="00DF0A04" w:rsidRPr="005E6068">
        <w:rPr>
          <w:rFonts w:cs="Times New Roman PS"/>
          <w:noProof w:val="0"/>
        </w:rPr>
        <w:t xml:space="preserve"> </w:t>
      </w:r>
      <w:r w:rsidRPr="005E6068">
        <w:rPr>
          <w:rFonts w:cs="Times New Roman PS"/>
          <w:noProof w:val="0"/>
        </w:rPr>
        <w:t>In addition to the relative size of awards, an improved approach could take into account available d</w:t>
      </w:r>
      <w:r w:rsidR="008266B0">
        <w:rPr>
          <w:rFonts w:cs="Times New Roman PS"/>
          <w:noProof w:val="0"/>
        </w:rPr>
        <w:t>ata (from ISS Incentive Lab) on</w:t>
      </w:r>
      <w:r w:rsidR="00F6348C">
        <w:rPr>
          <w:rFonts w:cs="Times New Roman PS"/>
          <w:noProof w:val="0"/>
        </w:rPr>
        <w:t xml:space="preserve"> the following features</w:t>
      </w:r>
      <w:r w:rsidRPr="005E6068">
        <w:rPr>
          <w:rFonts w:cs="Times New Roman PS"/>
          <w:noProof w:val="0"/>
        </w:rPr>
        <w:t>:</w:t>
      </w:r>
    </w:p>
    <w:p w14:paraId="67A40864" w14:textId="77777777" w:rsidR="00F6348C" w:rsidRDefault="00F6348C" w:rsidP="008266B0">
      <w:pPr>
        <w:pStyle w:val="Document"/>
        <w:rPr>
          <w:rFonts w:cs="Times New Roman PS"/>
          <w:noProof w:val="0"/>
        </w:rPr>
      </w:pPr>
    </w:p>
    <w:p w14:paraId="72AFD36C" w14:textId="6816EAB0" w:rsidR="00F6348C" w:rsidRDefault="001177E4" w:rsidP="001177E4">
      <w:pPr>
        <w:pStyle w:val="Document"/>
      </w:pPr>
      <w:r>
        <w:t>(1) </w:t>
      </w:r>
      <w:r w:rsidR="00131226" w:rsidRPr="005E6068">
        <w:t>the number of RPE and non-RPE metrics in a particular award</w:t>
      </w:r>
      <w:r w:rsidR="00F6348C">
        <w:t xml:space="preserve">. </w:t>
      </w:r>
      <w:r w:rsidR="00F6348C" w:rsidRPr="00F6348C">
        <w:t>An award with RPE metrics exclusively is likely to provide stronger RPE than an award that includes one or more absolute (non-RPE) metrics.</w:t>
      </w:r>
    </w:p>
    <w:p w14:paraId="7F2EE79C" w14:textId="7A36BAD5" w:rsidR="00F6348C" w:rsidRPr="00F6348C" w:rsidRDefault="001177E4" w:rsidP="001177E4">
      <w:pPr>
        <w:pStyle w:val="Document"/>
        <w:rPr>
          <w:rFonts w:cs="Times New Roman PS"/>
          <w:noProof w:val="0"/>
        </w:rPr>
      </w:pPr>
      <w:r>
        <w:t>(2) </w:t>
      </w:r>
      <w:r w:rsidR="00131226" w:rsidRPr="005E6068">
        <w:t>the nature of the RPE metric</w:t>
      </w:r>
      <w:r w:rsidR="00F6348C">
        <w:t xml:space="preserve">. </w:t>
      </w:r>
      <w:r w:rsidR="00F6348C" w:rsidRPr="00F6348C">
        <w:t>As Schmalz notes, metrics based on company value, such as total shareholder return, create incentives to compete for market share, while metrics that are based on margins likely discourage such competition.</w:t>
      </w:r>
      <w:r w:rsidR="00131226">
        <w:rPr>
          <w:rStyle w:val="FootnoteReference"/>
        </w:rPr>
        <w:footnoteReference w:id="188"/>
      </w:r>
    </w:p>
    <w:p w14:paraId="61D4940B" w14:textId="5AFC53A3" w:rsidR="00E847CF" w:rsidRPr="00F6348C" w:rsidRDefault="001177E4" w:rsidP="001177E4">
      <w:pPr>
        <w:pStyle w:val="Document"/>
        <w:rPr>
          <w:rFonts w:cs="Times New Roman PS"/>
          <w:noProof w:val="0"/>
        </w:rPr>
      </w:pPr>
      <w:r>
        <w:t>(3) </w:t>
      </w:r>
      <w:r w:rsidR="00131226">
        <w:t>the benchmark.</w:t>
      </w:r>
      <w:r w:rsidR="00F6348C">
        <w:t xml:space="preserve"> </w:t>
      </w:r>
      <w:r w:rsidR="00F6348C" w:rsidRPr="00F6348C">
        <w:t>Benchmarking RPE against a select group of peer firms provides the strongest incentive to compete. The use of an industry index provides a weaker incentive to compete. The use of a broad market index likely produces no additional incentive to compete with peer firms (relative to an award lacking RPE).</w:t>
      </w:r>
    </w:p>
    <w:p w14:paraId="1336E3DB" w14:textId="77777777" w:rsidR="00F6348C" w:rsidRPr="005E6068" w:rsidRDefault="00F6348C" w:rsidP="00F6348C">
      <w:pPr>
        <w:pStyle w:val="Document"/>
        <w:ind w:left="580" w:firstLine="0"/>
        <w:rPr>
          <w:rFonts w:cs="Times New Roman PS"/>
          <w:noProof w:val="0"/>
        </w:rPr>
      </w:pPr>
    </w:p>
    <w:p w14:paraId="0AEA3C6C" w14:textId="130C41F5" w:rsidR="00E847CF" w:rsidRPr="005E6068" w:rsidRDefault="00E847CF" w:rsidP="001B39BE">
      <w:pPr>
        <w:pStyle w:val="Document"/>
        <w:rPr>
          <w:rFonts w:cs="Times New Roman PS"/>
          <w:noProof w:val="0"/>
        </w:rPr>
      </w:pPr>
      <w:r w:rsidRPr="005E6068">
        <w:rPr>
          <w:rFonts w:cs="Times New Roman PS"/>
          <w:noProof w:val="0"/>
        </w:rPr>
        <w:t>While an RPE-based empirical strategy seems clearly preferable to a WPS-based strategy, researchers should not completely ignore WPS.</w:t>
      </w:r>
      <w:r w:rsidR="00DF0A04" w:rsidRPr="005E6068">
        <w:rPr>
          <w:rFonts w:cs="Times New Roman PS"/>
          <w:noProof w:val="0"/>
        </w:rPr>
        <w:t xml:space="preserve"> </w:t>
      </w:r>
      <w:r w:rsidRPr="005E6068">
        <w:rPr>
          <w:rFonts w:cs="Times New Roman PS"/>
          <w:noProof w:val="0"/>
        </w:rPr>
        <w:t>Imagine two executives with similar RPE-based incentives, but one has much larger share and option holdings, leading to much larger WPS.</w:t>
      </w:r>
      <w:r w:rsidR="00DF0A04" w:rsidRPr="005E6068">
        <w:rPr>
          <w:rFonts w:cs="Times New Roman PS"/>
          <w:noProof w:val="0"/>
        </w:rPr>
        <w:t xml:space="preserve"> </w:t>
      </w:r>
      <w:r w:rsidRPr="005E6068">
        <w:rPr>
          <w:rFonts w:cs="Times New Roman PS"/>
          <w:noProof w:val="0"/>
        </w:rPr>
        <w:t>All else equal, the executive with large WPS will have a greater incentive to compete with rival firms (or do other things to increase share value).</w:t>
      </w:r>
      <w:r w:rsidR="00DF0A04" w:rsidRPr="005E6068">
        <w:rPr>
          <w:rFonts w:cs="Times New Roman PS"/>
          <w:noProof w:val="0"/>
        </w:rPr>
        <w:t xml:space="preserve"> </w:t>
      </w:r>
      <w:r w:rsidRPr="005E6068">
        <w:rPr>
          <w:rFonts w:cs="Times New Roman PS"/>
          <w:noProof w:val="0"/>
        </w:rPr>
        <w:t>As such, WPS should at least serve as a control variable in the analysis.</w:t>
      </w:r>
      <w:r w:rsidR="00DF0A04" w:rsidRPr="005E6068">
        <w:rPr>
          <w:rFonts w:cs="Times New Roman PS"/>
          <w:noProof w:val="0"/>
        </w:rPr>
        <w:t xml:space="preserve"> </w:t>
      </w:r>
      <w:r w:rsidRPr="005E6068">
        <w:rPr>
          <w:rFonts w:cs="Times New Roman PS"/>
          <w:noProof w:val="0"/>
        </w:rPr>
        <w:t xml:space="preserve">As noted above, determining WPS for performance awards is not </w:t>
      </w:r>
      <w:r w:rsidR="005E6068" w:rsidRPr="005E6068">
        <w:rPr>
          <w:rFonts w:cs="Times New Roman PS"/>
          <w:noProof w:val="0"/>
        </w:rPr>
        <w:t>trivial. Some</w:t>
      </w:r>
      <w:r w:rsidRPr="005E6068">
        <w:rPr>
          <w:rFonts w:cs="Times New Roman PS"/>
          <w:noProof w:val="0"/>
        </w:rPr>
        <w:t xml:space="preserve"> rule of thumb may have to be developed to estimate WPS for these awards.</w:t>
      </w:r>
      <w:r w:rsidR="001F16F2" w:rsidRPr="005E6068">
        <w:rPr>
          <w:rFonts w:cs="Times New Roman PS"/>
          <w:noProof w:val="0"/>
        </w:rPr>
        <w:t xml:space="preserve"> </w:t>
      </w:r>
      <w:r w:rsidRPr="005E6068">
        <w:rPr>
          <w:rFonts w:cs="Times New Roman PS"/>
          <w:noProof w:val="0"/>
        </w:rPr>
        <w:t>Hopefully, however, this problem will be less acute if WPS serves as a control rather than as the dependent variable.</w:t>
      </w:r>
    </w:p>
    <w:p w14:paraId="571CA412" w14:textId="77777777" w:rsidR="00E847CF" w:rsidRPr="005E6068" w:rsidRDefault="00E847CF" w:rsidP="00D97953">
      <w:pPr>
        <w:pStyle w:val="SubHead1"/>
      </w:pPr>
      <w:bookmarkStart w:id="104" w:name="_Toc16064720"/>
      <w:bookmarkStart w:id="105" w:name="_Toc23780681"/>
      <w:r w:rsidRPr="00D97953">
        <w:t>Conclusion</w:t>
      </w:r>
      <w:bookmarkEnd w:id="104"/>
      <w:bookmarkEnd w:id="105"/>
    </w:p>
    <w:p w14:paraId="00CF2028" w14:textId="1E5842AA" w:rsidR="00E847CF" w:rsidRPr="005E6068" w:rsidRDefault="00E847CF" w:rsidP="001B39BE">
      <w:pPr>
        <w:pStyle w:val="Document"/>
        <w:rPr>
          <w:rFonts w:cs="Times New Roman PS"/>
          <w:noProof w:val="0"/>
        </w:rPr>
      </w:pPr>
      <w:r w:rsidRPr="005E6068">
        <w:rPr>
          <w:rFonts w:cs="Times New Roman PS"/>
          <w:noProof w:val="0"/>
        </w:rPr>
        <w:t xml:space="preserve">Given the seemingly inexorable rise in institutional investor ownership of U.S. equity securities and common ownership, the influence of common owners on competition is quickly becoming one of the most important topics in </w:t>
      </w:r>
      <w:r w:rsidRPr="005E6068">
        <w:rPr>
          <w:rFonts w:cs="Times New Roman PS"/>
          <w:noProof w:val="0"/>
        </w:rPr>
        <w:lastRenderedPageBreak/>
        <w:t>corporate governance and regulation.</w:t>
      </w:r>
      <w:r w:rsidR="00DF0A04" w:rsidRPr="005E6068">
        <w:rPr>
          <w:rFonts w:cs="Times New Roman PS"/>
          <w:noProof w:val="0"/>
        </w:rPr>
        <w:t xml:space="preserve"> </w:t>
      </w:r>
      <w:r w:rsidRPr="005E6068">
        <w:rPr>
          <w:rFonts w:cs="Times New Roman PS"/>
          <w:noProof w:val="0"/>
        </w:rPr>
        <w:t>The seriousness of the problem and the advisability of intervention is a matter of heated debate.</w:t>
      </w:r>
      <w:r w:rsidR="00DF0A04" w:rsidRPr="005E6068">
        <w:rPr>
          <w:rFonts w:cs="Times New Roman PS"/>
          <w:noProof w:val="0"/>
        </w:rPr>
        <w:t xml:space="preserve"> </w:t>
      </w:r>
      <w:r w:rsidRPr="005E6068">
        <w:rPr>
          <w:rFonts w:cs="Times New Roman PS"/>
          <w:noProof w:val="0"/>
        </w:rPr>
        <w:t>A key question in this debate involves the mechanism that could translate anticompetitive incentives of common owners into anticompetitive behavior by corporate managers.</w:t>
      </w:r>
      <w:r w:rsidR="00DF0A04" w:rsidRPr="005E6068">
        <w:rPr>
          <w:rFonts w:cs="Times New Roman PS"/>
          <w:noProof w:val="0"/>
        </w:rPr>
        <w:t xml:space="preserve"> </w:t>
      </w:r>
      <w:r w:rsidRPr="005E6068">
        <w:rPr>
          <w:rFonts w:cs="Times New Roman PS"/>
          <w:noProof w:val="0"/>
        </w:rPr>
        <w:t>Without a plausible mechanism, the arguments of proponents of regulatory intervention lose much of their force.</w:t>
      </w:r>
    </w:p>
    <w:p w14:paraId="25115B4D" w14:textId="50EC622B" w:rsidR="00E847CF" w:rsidRPr="005E6068" w:rsidRDefault="00E847CF" w:rsidP="001B39BE">
      <w:pPr>
        <w:pStyle w:val="Document"/>
        <w:rPr>
          <w:rFonts w:cs="Times New Roman PS"/>
          <w:noProof w:val="0"/>
        </w:rPr>
      </w:pPr>
      <w:r w:rsidRPr="005E6068">
        <w:rPr>
          <w:rFonts w:cs="Times New Roman PS"/>
          <w:noProof w:val="0"/>
        </w:rPr>
        <w:t>Executive pay design has been a leading candidate for that mechanism.</w:t>
      </w:r>
      <w:r w:rsidR="00DF0A04" w:rsidRPr="005E6068">
        <w:rPr>
          <w:rFonts w:cs="Times New Roman PS"/>
          <w:noProof w:val="0"/>
        </w:rPr>
        <w:t xml:space="preserve"> </w:t>
      </w:r>
      <w:r w:rsidRPr="005E6068">
        <w:rPr>
          <w:rFonts w:cs="Times New Roman PS"/>
          <w:noProof w:val="0"/>
        </w:rPr>
        <w:t xml:space="preserve">As this </w:t>
      </w:r>
      <w:r w:rsidR="00D50C91">
        <w:rPr>
          <w:rFonts w:cs="Times New Roman PS"/>
          <w:noProof w:val="0"/>
        </w:rPr>
        <w:t>Article</w:t>
      </w:r>
      <w:r w:rsidRPr="005E6068">
        <w:rPr>
          <w:rFonts w:cs="Times New Roman PS"/>
          <w:noProof w:val="0"/>
        </w:rPr>
        <w:t xml:space="preserve"> has detailed, however, the evidence linking executive incentives with common ownership is actually quite weak.</w:t>
      </w:r>
      <w:r w:rsidR="00DF0A04" w:rsidRPr="005E6068">
        <w:rPr>
          <w:rFonts w:cs="Times New Roman PS"/>
          <w:noProof w:val="0"/>
        </w:rPr>
        <w:t xml:space="preserve"> </w:t>
      </w:r>
      <w:r w:rsidRPr="005E6068">
        <w:rPr>
          <w:rFonts w:cs="Times New Roman PS"/>
          <w:noProof w:val="0"/>
        </w:rPr>
        <w:t>The macro-level trends in the use of explicit RPE and common ownership and the most commonly employed RPE design features run exactly counter to the mechanism hypothesis.</w:t>
      </w:r>
      <w:r w:rsidR="00DF0A04" w:rsidRPr="005E6068">
        <w:rPr>
          <w:rFonts w:cs="Times New Roman PS"/>
          <w:noProof w:val="0"/>
        </w:rPr>
        <w:t xml:space="preserve"> </w:t>
      </w:r>
      <w:r w:rsidRPr="005E6068">
        <w:rPr>
          <w:rFonts w:cs="Times New Roman PS"/>
          <w:noProof w:val="0"/>
        </w:rPr>
        <w:t xml:space="preserve">And now, particularly given that AEGS have moved away from an RPE-based approach, the weight of the remaining empirical evidence does not support the suggestion that </w:t>
      </w:r>
      <w:r w:rsidR="00F6348C">
        <w:rPr>
          <w:rFonts w:cs="Times New Roman PS"/>
          <w:noProof w:val="0"/>
        </w:rPr>
        <w:t>avoidance of</w:t>
      </w:r>
      <w:r w:rsidRPr="005E6068">
        <w:rPr>
          <w:rFonts w:cs="Times New Roman PS"/>
          <w:noProof w:val="0"/>
        </w:rPr>
        <w:t xml:space="preserve"> RPE is a mechanism linking common ownership with diminished interfirm competition.</w:t>
      </w:r>
      <w:r w:rsidR="00DF0A04" w:rsidRPr="005E6068">
        <w:rPr>
          <w:rFonts w:cs="Times New Roman PS"/>
          <w:noProof w:val="0"/>
        </w:rPr>
        <w:t xml:space="preserve"> </w:t>
      </w:r>
    </w:p>
    <w:p w14:paraId="25E8585D" w14:textId="0E482543" w:rsidR="00E847CF" w:rsidRPr="005E6068" w:rsidRDefault="00E847CF" w:rsidP="001B39BE">
      <w:pPr>
        <w:pStyle w:val="Document"/>
        <w:rPr>
          <w:rFonts w:cs="Times New Roman PS"/>
          <w:noProof w:val="0"/>
        </w:rPr>
      </w:pPr>
      <w:r w:rsidRPr="005E6068">
        <w:rPr>
          <w:rFonts w:cs="Times New Roman PS"/>
          <w:noProof w:val="0"/>
        </w:rPr>
        <w:t xml:space="preserve">The dramatic increase in the explicit use of RPE-based compensation metrics over the last </w:t>
      </w:r>
      <w:r w:rsidR="00903220">
        <w:rPr>
          <w:rFonts w:cs="Times New Roman PS"/>
          <w:noProof w:val="0"/>
        </w:rPr>
        <w:t>twenty</w:t>
      </w:r>
      <w:r w:rsidRPr="005E6068">
        <w:rPr>
          <w:rFonts w:cs="Times New Roman PS"/>
          <w:noProof w:val="0"/>
        </w:rPr>
        <w:t xml:space="preserve"> years undermines not only the compensation mechanism</w:t>
      </w:r>
      <w:r w:rsidR="00F6348C">
        <w:rPr>
          <w:rFonts w:cs="Times New Roman PS"/>
          <w:noProof w:val="0"/>
        </w:rPr>
        <w:t>,</w:t>
      </w:r>
      <w:r w:rsidRPr="005E6068">
        <w:rPr>
          <w:rFonts w:cs="Times New Roman PS"/>
          <w:noProof w:val="0"/>
        </w:rPr>
        <w:t xml:space="preserve"> but also the passive or </w:t>
      </w:r>
      <w:r w:rsidR="009A645E">
        <w:rPr>
          <w:rFonts w:cs="Times New Roman PS"/>
          <w:noProof w:val="0"/>
        </w:rPr>
        <w:t>“</w:t>
      </w:r>
      <w:r w:rsidRPr="005E6068">
        <w:rPr>
          <w:rFonts w:cs="Times New Roman PS"/>
          <w:noProof w:val="0"/>
        </w:rPr>
        <w:t>do nothing</w:t>
      </w:r>
      <w:r w:rsidR="009A645E">
        <w:rPr>
          <w:rFonts w:cs="Times New Roman PS"/>
          <w:noProof w:val="0"/>
        </w:rPr>
        <w:t>”</w:t>
      </w:r>
      <w:r w:rsidRPr="005E6068">
        <w:rPr>
          <w:rFonts w:cs="Times New Roman PS"/>
          <w:noProof w:val="0"/>
        </w:rPr>
        <w:t xml:space="preserve"> mechanism proposed by Azar, Schmalz, and Tecu.</w:t>
      </w:r>
      <w:r w:rsidRPr="00F155BE">
        <w:rPr>
          <w:rStyle w:val="NoterefInText"/>
        </w:rPr>
        <w:footnoteReference w:id="189"/>
      </w:r>
      <w:r w:rsidR="00DF0A04" w:rsidRPr="005E6068">
        <w:rPr>
          <w:rFonts w:cs="Times New Roman PS"/>
          <w:noProof w:val="0"/>
        </w:rPr>
        <w:t xml:space="preserve"> </w:t>
      </w:r>
      <w:r w:rsidRPr="005E6068">
        <w:rPr>
          <w:rFonts w:cs="Times New Roman PS"/>
          <w:noProof w:val="0"/>
        </w:rPr>
        <w:t>The idea here is that</w:t>
      </w:r>
      <w:r w:rsidR="00FB0A06">
        <w:rPr>
          <w:rFonts w:cs="Times New Roman PS"/>
          <w:noProof w:val="0"/>
        </w:rPr>
        <w:t>,</w:t>
      </w:r>
      <w:r w:rsidRPr="005E6068">
        <w:rPr>
          <w:rFonts w:cs="Times New Roman PS"/>
          <w:noProof w:val="0"/>
        </w:rPr>
        <w:t xml:space="preserve"> unlike sole owners, common owners might simply do nothing to promote competition and allow managers to live the quiet life</w:t>
      </w:r>
      <w:r w:rsidR="00FB0A06">
        <w:rPr>
          <w:rFonts w:cs="Times New Roman PS"/>
          <w:noProof w:val="0"/>
        </w:rPr>
        <w:t>.</w:t>
      </w:r>
      <w:r w:rsidR="00DF0A04" w:rsidRPr="005E6068">
        <w:rPr>
          <w:rFonts w:cs="Times New Roman PS"/>
          <w:noProof w:val="0"/>
        </w:rPr>
        <w:t xml:space="preserve"> </w:t>
      </w:r>
      <w:r w:rsidR="00CC5701" w:rsidRPr="005E6068">
        <w:rPr>
          <w:rFonts w:cs="Times New Roman PS"/>
          <w:noProof w:val="0"/>
        </w:rPr>
        <w:t>A</w:t>
      </w:r>
      <w:r w:rsidRPr="005E6068">
        <w:rPr>
          <w:rFonts w:cs="Times New Roman PS"/>
          <w:noProof w:val="0"/>
        </w:rPr>
        <w:t>dopting RPE-based compensation</w:t>
      </w:r>
      <w:r w:rsidR="00CC5701" w:rsidRPr="005E6068">
        <w:rPr>
          <w:rFonts w:cs="Times New Roman PS"/>
          <w:noProof w:val="0"/>
        </w:rPr>
        <w:t>, however,</w:t>
      </w:r>
      <w:r w:rsidRPr="005E6068">
        <w:rPr>
          <w:rFonts w:cs="Times New Roman PS"/>
          <w:noProof w:val="0"/>
        </w:rPr>
        <w:t xml:space="preserve"> is exactly the opposite of doing nothing.</w:t>
      </w:r>
    </w:p>
    <w:p w14:paraId="5D92C063" w14:textId="4F74309D" w:rsidR="00E847CF" w:rsidRPr="005E6068" w:rsidRDefault="00E847CF" w:rsidP="001B39BE">
      <w:pPr>
        <w:pStyle w:val="Document"/>
        <w:rPr>
          <w:rFonts w:cs="Times New Roman PS"/>
          <w:noProof w:val="0"/>
        </w:rPr>
      </w:pPr>
      <w:r w:rsidRPr="005E6068">
        <w:rPr>
          <w:rFonts w:cs="Times New Roman PS"/>
          <w:noProof w:val="0"/>
        </w:rPr>
        <w:t>The related but slightly different idea that greater common ownership leads to reduced sensitivity of executive wealth to own-firm performance</w:t>
      </w:r>
      <w:r w:rsidR="00CC7D25">
        <w:rPr>
          <w:rFonts w:cs="Times New Roman PS"/>
          <w:noProof w:val="0"/>
        </w:rPr>
        <w:t>—</w:t>
      </w:r>
      <w:r w:rsidR="00903220">
        <w:rPr>
          <w:rFonts w:cs="Times New Roman PS"/>
          <w:noProof w:val="0"/>
        </w:rPr>
        <w:t>that is</w:t>
      </w:r>
      <w:r w:rsidRPr="005E6068">
        <w:rPr>
          <w:rFonts w:cs="Times New Roman PS"/>
          <w:noProof w:val="0"/>
        </w:rPr>
        <w:t>, to lower-powered incentives generally</w:t>
      </w:r>
      <w:r w:rsidR="00CC7D25">
        <w:rPr>
          <w:rFonts w:cs="Times New Roman PS"/>
          <w:noProof w:val="0"/>
        </w:rPr>
        <w:t>—</w:t>
      </w:r>
      <w:r w:rsidRPr="005E6068">
        <w:rPr>
          <w:rFonts w:cs="Times New Roman PS"/>
          <w:noProof w:val="0"/>
        </w:rPr>
        <w:t>and thus to dampening interfirm competition seems implausibly overbroad.</w:t>
      </w:r>
      <w:r w:rsidR="00DF0A04" w:rsidRPr="005E6068">
        <w:rPr>
          <w:rFonts w:cs="Times New Roman PS"/>
          <w:noProof w:val="0"/>
        </w:rPr>
        <w:t xml:space="preserve"> </w:t>
      </w:r>
      <w:r w:rsidRPr="005E6068">
        <w:rPr>
          <w:rFonts w:cs="Times New Roman PS"/>
          <w:noProof w:val="0"/>
        </w:rPr>
        <w:t xml:space="preserve">Moreover, this </w:t>
      </w:r>
      <w:r w:rsidR="00D50C91">
        <w:rPr>
          <w:rFonts w:cs="Times New Roman PS"/>
          <w:noProof w:val="0"/>
        </w:rPr>
        <w:t>Article</w:t>
      </w:r>
      <w:r w:rsidR="00435F89" w:rsidRPr="005E6068">
        <w:rPr>
          <w:rFonts w:cs="Times New Roman PS"/>
          <w:noProof w:val="0"/>
        </w:rPr>
        <w:t xml:space="preserve"> </w:t>
      </w:r>
      <w:r w:rsidRPr="005E6068">
        <w:rPr>
          <w:rFonts w:cs="Times New Roman PS"/>
          <w:noProof w:val="0"/>
        </w:rPr>
        <w:t>has offered several conceptual and methodological reasons to question the evidence offered by the sole paper adopting this approach to date.</w:t>
      </w:r>
      <w:r w:rsidRPr="00F155BE">
        <w:rPr>
          <w:rStyle w:val="NoterefInText"/>
        </w:rPr>
        <w:footnoteReference w:id="190"/>
      </w:r>
    </w:p>
    <w:p w14:paraId="61EB7AEE" w14:textId="7B54CA02" w:rsidR="00E847CF" w:rsidRPr="005E6068" w:rsidRDefault="00E847CF" w:rsidP="001B39BE">
      <w:pPr>
        <w:pStyle w:val="Document"/>
        <w:rPr>
          <w:rFonts w:cs="Times New Roman PS"/>
          <w:noProof w:val="0"/>
        </w:rPr>
      </w:pPr>
      <w:r w:rsidRPr="005E6068">
        <w:rPr>
          <w:rFonts w:cs="Times New Roman PS"/>
          <w:noProof w:val="0"/>
        </w:rPr>
        <w:t xml:space="preserve">In sum, this </w:t>
      </w:r>
      <w:r w:rsidR="00D50C91">
        <w:rPr>
          <w:rFonts w:cs="Times New Roman PS"/>
          <w:noProof w:val="0"/>
        </w:rPr>
        <w:t>Article</w:t>
      </w:r>
      <w:r w:rsidRPr="005E6068">
        <w:rPr>
          <w:rFonts w:cs="Times New Roman PS"/>
          <w:noProof w:val="0"/>
        </w:rPr>
        <w:t xml:space="preserve"> has provided numerous reasons to conclude that executive pay design is an implausible mechanism linking common ownership with dampened competition.</w:t>
      </w:r>
      <w:r w:rsidR="00DF0A04" w:rsidRPr="005E6068">
        <w:rPr>
          <w:rFonts w:cs="Times New Roman PS"/>
          <w:noProof w:val="0"/>
        </w:rPr>
        <w:t xml:space="preserve"> </w:t>
      </w:r>
      <w:r w:rsidRPr="005E6068">
        <w:rPr>
          <w:rFonts w:cs="Times New Roman PS"/>
          <w:noProof w:val="0"/>
        </w:rPr>
        <w:t>If accepted, these arguments tend to undermine the more general claim and add further cautionary notes to the debate regarding regulatory intervention.</w:t>
      </w:r>
    </w:p>
    <w:p w14:paraId="41EFBA43" w14:textId="0454D185" w:rsidR="00A90158" w:rsidRPr="000A52E0" w:rsidRDefault="00E847CF" w:rsidP="0053337A">
      <w:pPr>
        <w:pStyle w:val="Document"/>
        <w:rPr>
          <w:rFonts w:cs="Times New Roman PS"/>
          <w:noProof w:val="0"/>
        </w:rPr>
      </w:pPr>
      <w:r w:rsidRPr="005E6068">
        <w:rPr>
          <w:rFonts w:cs="Times New Roman PS"/>
          <w:noProof w:val="0"/>
        </w:rPr>
        <w:t xml:space="preserve">However, this </w:t>
      </w:r>
      <w:r w:rsidR="00D50C91">
        <w:rPr>
          <w:rFonts w:cs="Times New Roman PS"/>
          <w:noProof w:val="0"/>
        </w:rPr>
        <w:t>Article</w:t>
      </w:r>
      <w:r w:rsidRPr="005E6068">
        <w:rPr>
          <w:rFonts w:cs="Times New Roman PS"/>
          <w:noProof w:val="0"/>
        </w:rPr>
        <w:t xml:space="preserve"> certainly does not purport to disprove the compensation hypothesis</w:t>
      </w:r>
      <w:r w:rsidR="00A67F2B" w:rsidRPr="005E6068">
        <w:rPr>
          <w:rFonts w:cs="Times New Roman PS"/>
          <w:noProof w:val="0"/>
        </w:rPr>
        <w:t>;</w:t>
      </w:r>
      <w:r w:rsidR="00DD6C07" w:rsidRPr="005E6068">
        <w:rPr>
          <w:rFonts w:cs="Times New Roman PS"/>
          <w:noProof w:val="0"/>
        </w:rPr>
        <w:t xml:space="preserve"> instead</w:t>
      </w:r>
      <w:r w:rsidR="00435F89" w:rsidRPr="005E6068">
        <w:rPr>
          <w:rFonts w:cs="Times New Roman PS"/>
          <w:noProof w:val="0"/>
        </w:rPr>
        <w:t>, it</w:t>
      </w:r>
      <w:r w:rsidR="00DD6C07" w:rsidRPr="005E6068">
        <w:rPr>
          <w:rFonts w:cs="Times New Roman PS"/>
          <w:noProof w:val="0"/>
        </w:rPr>
        <w:t xml:space="preserve"> </w:t>
      </w:r>
      <w:r w:rsidR="00A67F2B" w:rsidRPr="005E6068">
        <w:rPr>
          <w:rFonts w:cs="Times New Roman PS"/>
          <w:noProof w:val="0"/>
        </w:rPr>
        <w:t>claim</w:t>
      </w:r>
      <w:r w:rsidR="00435F89" w:rsidRPr="005E6068">
        <w:rPr>
          <w:rFonts w:cs="Times New Roman PS"/>
          <w:noProof w:val="0"/>
        </w:rPr>
        <w:t>s</w:t>
      </w:r>
      <w:r w:rsidRPr="005E6068">
        <w:rPr>
          <w:rFonts w:cs="Times New Roman PS"/>
          <w:noProof w:val="0"/>
        </w:rPr>
        <w:t xml:space="preserve"> that the existing evidence is weaker than </w:t>
      </w:r>
      <w:r w:rsidR="00F6348C">
        <w:rPr>
          <w:rFonts w:cs="Times New Roman PS"/>
          <w:noProof w:val="0"/>
        </w:rPr>
        <w:t xml:space="preserve">is </w:t>
      </w:r>
      <w:r w:rsidRPr="005E6068">
        <w:rPr>
          <w:rFonts w:cs="Times New Roman PS"/>
          <w:noProof w:val="0"/>
        </w:rPr>
        <w:t>generally understood.</w:t>
      </w:r>
      <w:r w:rsidR="00DF0A04" w:rsidRPr="005E6068">
        <w:rPr>
          <w:rFonts w:cs="Times New Roman PS"/>
          <w:noProof w:val="0"/>
        </w:rPr>
        <w:t xml:space="preserve"> </w:t>
      </w:r>
      <w:r w:rsidRPr="005E6068">
        <w:rPr>
          <w:rFonts w:cs="Times New Roman PS"/>
          <w:noProof w:val="0"/>
        </w:rPr>
        <w:t xml:space="preserve">As such, and despite skepticism regarding the hypothesis, this </w:t>
      </w:r>
      <w:r w:rsidR="00D50C91">
        <w:rPr>
          <w:rFonts w:cs="Times New Roman PS"/>
          <w:noProof w:val="0"/>
        </w:rPr>
        <w:t>Article</w:t>
      </w:r>
      <w:r w:rsidRPr="005E6068">
        <w:rPr>
          <w:rFonts w:cs="Times New Roman PS"/>
          <w:noProof w:val="0"/>
        </w:rPr>
        <w:t xml:space="preserve"> has also offered several suggestions for improving the compensation side of empirical analyses investigating the potential link between common ownership and executive incentives.</w:t>
      </w:r>
      <w:r w:rsidR="00DF0A04" w:rsidRPr="005E6068">
        <w:rPr>
          <w:rFonts w:cs="Times New Roman PS"/>
          <w:noProof w:val="0"/>
        </w:rPr>
        <w:t xml:space="preserve"> </w:t>
      </w:r>
      <w:r w:rsidRPr="005E6068">
        <w:rPr>
          <w:rFonts w:cs="Times New Roman PS"/>
          <w:noProof w:val="0"/>
        </w:rPr>
        <w:t>My hope is that these suggestions will help analysts advance our understanding of this important issue.</w:t>
      </w:r>
    </w:p>
    <w:sectPr w:rsidR="00A90158" w:rsidRPr="000A52E0" w:rsidSect="004330D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2779" w:bottom="2261" w:left="2779" w:header="720" w:footer="2376" w:gutter="0"/>
      <w:pgNumType w:start="237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8D826" w14:textId="77777777" w:rsidR="00051004" w:rsidRDefault="00051004">
      <w:r>
        <w:separator/>
      </w:r>
    </w:p>
  </w:endnote>
  <w:endnote w:type="continuationSeparator" w:id="0">
    <w:p w14:paraId="04D9EB19" w14:textId="77777777" w:rsidR="00051004" w:rsidRDefault="00051004">
      <w:r>
        <w:continuationSeparator/>
      </w:r>
    </w:p>
  </w:endnote>
  <w:endnote w:type="continuationNotice" w:id="1">
    <w:p w14:paraId="6564265B" w14:textId="77777777" w:rsidR="00051004" w:rsidRDefault="00051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w:altName w:val="Times New Roman"/>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68E5" w14:textId="77777777" w:rsidR="00051004" w:rsidRDefault="00051004">
    <w:pPr>
      <w:pStyle w:val="Footer"/>
      <w:spacing w:before="100" w:line="21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EE59" w14:textId="77777777" w:rsidR="00051004" w:rsidRDefault="00051004">
    <w:pPr>
      <w:pStyle w:val="Footer"/>
      <w:spacing w:before="100" w:line="21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E445" w14:textId="70E1724E" w:rsidR="00051004" w:rsidRDefault="00051004">
    <w:pPr>
      <w:pStyle w:val="Footer"/>
      <w:spacing w:before="100" w:line="210" w:lineRule="exact"/>
      <w:jc w:val="center"/>
    </w:pPr>
    <w:r>
      <w:rPr>
        <w:sz w:val="21"/>
      </w:rPr>
      <w:fldChar w:fldCharType="begin"/>
    </w:r>
    <w:r>
      <w:rPr>
        <w:sz w:val="21"/>
      </w:rPr>
      <w:instrText xml:space="preserve"> PAGE  \* MERGEFORMAT </w:instrText>
    </w:r>
    <w:r>
      <w:rPr>
        <w:sz w:val="21"/>
      </w:rPr>
      <w:fldChar w:fldCharType="separate"/>
    </w:r>
    <w:r w:rsidR="00ED7BD9">
      <w:rPr>
        <w:noProof/>
        <w:sz w:val="21"/>
      </w:rPr>
      <w:t>2373</w:t>
    </w:r>
    <w:r>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619BF" w14:textId="77777777" w:rsidR="00051004" w:rsidRPr="00F155BE" w:rsidRDefault="00051004" w:rsidP="00F155BE">
      <w:pPr>
        <w:pStyle w:val="Footer"/>
        <w:pBdr>
          <w:bottom w:val="single" w:sz="6" w:space="0" w:color="auto"/>
        </w:pBdr>
        <w:spacing w:after="80"/>
      </w:pPr>
    </w:p>
  </w:footnote>
  <w:footnote w:type="continuationSeparator" w:id="0">
    <w:p w14:paraId="3213DDB7" w14:textId="77777777" w:rsidR="00051004" w:rsidRPr="00F155BE" w:rsidRDefault="00051004" w:rsidP="00F155BE">
      <w:pPr>
        <w:pStyle w:val="Footer"/>
        <w:pBdr>
          <w:bottom w:val="single" w:sz="6" w:space="0" w:color="auto"/>
        </w:pBdr>
        <w:spacing w:after="80"/>
      </w:pPr>
    </w:p>
  </w:footnote>
  <w:footnote w:type="continuationNotice" w:id="1">
    <w:p w14:paraId="4F36CD1C" w14:textId="77777777" w:rsidR="00051004" w:rsidRDefault="00051004"/>
  </w:footnote>
  <w:footnote w:id="2">
    <w:p w14:paraId="5B503AC3" w14:textId="5E172E3F" w:rsidR="00051004" w:rsidRDefault="00051004" w:rsidP="00247A8B">
      <w:pPr>
        <w:pStyle w:val="FootNote"/>
      </w:pPr>
      <w:r>
        <w:rPr>
          <w:rFonts w:cs="Times New Roman PS"/>
        </w:rPr>
        <w:fldChar w:fldCharType="begin"/>
      </w:r>
      <w:r>
        <w:rPr>
          <w:rFonts w:cs="Times New Roman PS"/>
        </w:rPr>
        <w:instrText xml:space="preserve"> ADVANCE \r10 \* MERGEFORMAT </w:instrText>
      </w:r>
      <w:r>
        <w:rPr>
          <w:rFonts w:cs="Times New Roman PS"/>
        </w:rPr>
        <w:fldChar w:fldCharType="end"/>
      </w:r>
      <w:r w:rsidRPr="00247A8B">
        <w:rPr>
          <w:rStyle w:val="FootnoteReference"/>
        </w:rPr>
        <w:sym w:font="Symbol" w:char="F02A"/>
      </w:r>
      <w:r>
        <w:rPr>
          <w:rFonts w:cs="Times New Roman PS"/>
        </w:rPr>
        <w:fldChar w:fldCharType="begin"/>
      </w:r>
      <w:r>
        <w:rPr>
          <w:rFonts w:cs="Times New Roman PS"/>
        </w:rPr>
        <w:instrText xml:space="preserve"> ADVANCE \r4 \* MERGEFORMAT </w:instrText>
      </w:r>
      <w:r>
        <w:rPr>
          <w:rFonts w:cs="Times New Roman PS"/>
        </w:rPr>
        <w:fldChar w:fldCharType="end"/>
      </w:r>
      <w:r w:rsidRPr="00E847CF">
        <w:t>Professor of Law and Maurice Poch Faculty Research Scholar, Boston University School of Law.</w:t>
      </w:r>
      <w:r>
        <w:t xml:space="preserve"> </w:t>
      </w:r>
      <w:r w:rsidRPr="00E847CF">
        <w:t>For their helpful comments and contributions, I am grateful to Jared Elias, Scott Hirst, Marcel Kahan, Yutian Luo, Rory Van Loo</w:t>
      </w:r>
      <w:r>
        <w:t>,</w:t>
      </w:r>
      <w:r w:rsidRPr="00E847CF">
        <w:t xml:space="preserve"> and participants in a workshop at U.C. Hastings College of Law.</w:t>
      </w:r>
    </w:p>
  </w:footnote>
  <w:footnote w:id="3">
    <w:p w14:paraId="2FEB431A" w14:textId="1AE6A92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Einer Elhauge, </w:t>
      </w:r>
      <w:r w:rsidRPr="00E847CF">
        <w:rPr>
          <w:rFonts w:cs="Times New Roman PS"/>
          <w:i/>
        </w:rPr>
        <w:t>Horizontal Shareholding</w:t>
      </w:r>
      <w:r w:rsidRPr="00E847CF">
        <w:rPr>
          <w:rFonts w:cs="Times New Roman PS"/>
        </w:rPr>
        <w:t xml:space="preserve">, 129 </w:t>
      </w:r>
      <w:r w:rsidRPr="00E847CF">
        <w:rPr>
          <w:rFonts w:cs="Times New Roman PS"/>
          <w:smallCaps/>
        </w:rPr>
        <w:t>Harv. L. Rev</w:t>
      </w:r>
      <w:r w:rsidRPr="00E847CF">
        <w:rPr>
          <w:rFonts w:cs="Times New Roman PS"/>
        </w:rPr>
        <w:t xml:space="preserve">. 1267, 1268 (2016) (citing Neil Stewart, </w:t>
      </w:r>
      <w:r w:rsidRPr="00E847CF">
        <w:rPr>
          <w:rFonts w:cs="Times New Roman PS"/>
          <w:i/>
        </w:rPr>
        <w:t>Retail Shareholders: Looking Out for the Little Guy</w:t>
      </w:r>
      <w:r w:rsidRPr="00E847CF">
        <w:rPr>
          <w:rFonts w:cs="Times New Roman PS"/>
        </w:rPr>
        <w:t xml:space="preserve">, </w:t>
      </w:r>
      <w:r w:rsidRPr="00E847CF">
        <w:rPr>
          <w:rFonts w:cs="Times New Roman PS"/>
          <w:smallCaps/>
        </w:rPr>
        <w:t>IR Mag</w:t>
      </w:r>
      <w:r w:rsidRPr="00E847CF">
        <w:rPr>
          <w:rFonts w:cs="Times New Roman PS"/>
        </w:rPr>
        <w:t>. (May 15, 2012</w:t>
      </w:r>
      <w:r>
        <w:rPr>
          <w:rFonts w:cs="Times New Roman PS"/>
        </w:rPr>
        <w:t xml:space="preserve">), </w:t>
      </w:r>
      <w:r w:rsidRPr="00EE61FF">
        <w:rPr>
          <w:rFonts w:cs="Times New Roman PS"/>
        </w:rPr>
        <w:t>https://www.irmagazine.com/shareholder-targeting-id/retail-shareholders-looking-out-little-guy</w:t>
      </w:r>
      <w:r>
        <w:rPr>
          <w:rFonts w:cs="Times New Roman PS"/>
        </w:rPr>
        <w:t xml:space="preserve"> [</w:t>
      </w:r>
      <w:r w:rsidRPr="00EE61FF">
        <w:rPr>
          <w:rFonts w:cs="Times New Roman PS"/>
        </w:rPr>
        <w:t>https://perma.cc/YD5Y-RS4E</w:t>
      </w:r>
      <w:r>
        <w:rPr>
          <w:rFonts w:cs="Times New Roman PS"/>
        </w:rPr>
        <w:t>])</w:t>
      </w:r>
      <w:r w:rsidRPr="00E847CF">
        <w:rPr>
          <w:rFonts w:cs="Times New Roman PS"/>
        </w:rPr>
        <w:t xml:space="preserve">; Marshall E. Blume &amp; Donald B. Keim, </w:t>
      </w:r>
      <w:r w:rsidRPr="00C44253">
        <w:rPr>
          <w:rFonts w:cs="Times New Roman PS"/>
        </w:rPr>
        <w:t>Institutional Investors and Stock Market Liquidity: Trends and Relationships</w:t>
      </w:r>
      <w:r w:rsidRPr="00C23590">
        <w:rPr>
          <w:rFonts w:cs="Times New Roman PS"/>
          <w:i/>
        </w:rPr>
        <w:t xml:space="preserve"> </w:t>
      </w:r>
      <w:r w:rsidRPr="00E847CF">
        <w:rPr>
          <w:rFonts w:cs="Times New Roman PS"/>
        </w:rPr>
        <w:t>4 (</w:t>
      </w:r>
      <w:r>
        <w:rPr>
          <w:rFonts w:cs="Times New Roman PS"/>
        </w:rPr>
        <w:t xml:space="preserve">Aug. 21, 2012) (unpublished manuscript), </w:t>
      </w:r>
      <w:r w:rsidRPr="00EA41C1">
        <w:rPr>
          <w:rFonts w:cs="Times New Roman PS"/>
        </w:rPr>
        <w:t>https://papers.ssrn.com/sol3/papers.cfm?abstract_id=21</w:t>
      </w:r>
      <w:r>
        <w:rPr>
          <w:rFonts w:cs="Times New Roman PS"/>
        </w:rPr>
        <w:br/>
      </w:r>
      <w:r w:rsidRPr="00EA41C1">
        <w:rPr>
          <w:rFonts w:cs="Times New Roman PS"/>
        </w:rPr>
        <w:t>47757</w:t>
      </w:r>
      <w:r>
        <w:rPr>
          <w:rFonts w:cs="Times New Roman PS"/>
        </w:rPr>
        <w:t xml:space="preserve"> [</w:t>
      </w:r>
      <w:r w:rsidRPr="00EE61FF">
        <w:rPr>
          <w:rFonts w:cs="Times New Roman PS"/>
        </w:rPr>
        <w:t>https://perma.cc/FNS2-85MM</w:t>
      </w:r>
      <w:r>
        <w:rPr>
          <w:rFonts w:cs="Times New Roman PS"/>
        </w:rPr>
        <w:t xml:space="preserve">] </w:t>
      </w:r>
      <w:r w:rsidRPr="00E847CF">
        <w:rPr>
          <w:rFonts w:cs="Times New Roman PS"/>
        </w:rPr>
        <w:t>(finding that institutions held 67% of value of all U.S. shares in 2010</w:t>
      </w:r>
      <w:r>
        <w:rPr>
          <w:rFonts w:cs="Times New Roman PS"/>
        </w:rPr>
        <w:t>).</w:t>
      </w:r>
    </w:p>
  </w:footnote>
  <w:footnote w:id="4">
    <w:p w14:paraId="6F7A0460" w14:textId="4A0A05E6"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Jie </w:t>
      </w:r>
      <w:r>
        <w:rPr>
          <w:rFonts w:cs="Times New Roman PS"/>
        </w:rPr>
        <w:t xml:space="preserve">(Jack) </w:t>
      </w:r>
      <w:r w:rsidRPr="00E847CF">
        <w:rPr>
          <w:rFonts w:cs="Times New Roman PS"/>
        </w:rPr>
        <w:t xml:space="preserve">He &amp; Jiekun Huang, </w:t>
      </w:r>
      <w:r w:rsidRPr="00E847CF">
        <w:rPr>
          <w:rFonts w:cs="Times New Roman PS"/>
          <w:i/>
        </w:rPr>
        <w:t>Product Market Competition in a World of Cross-Ownership: Evidence from Institutional Blockholdings</w:t>
      </w:r>
      <w:r w:rsidRPr="00E847CF">
        <w:rPr>
          <w:rFonts w:cs="Times New Roman PS"/>
        </w:rPr>
        <w:t xml:space="preserve">, 30 </w:t>
      </w:r>
      <w:r w:rsidRPr="00E847CF">
        <w:rPr>
          <w:rFonts w:cs="Times New Roman PS"/>
          <w:smallCaps/>
        </w:rPr>
        <w:t>Rev. Fin. Stud</w:t>
      </w:r>
      <w:r>
        <w:rPr>
          <w:rFonts w:cs="Times New Roman PS"/>
          <w:smallCaps/>
        </w:rPr>
        <w:t>.</w:t>
      </w:r>
      <w:r w:rsidRPr="00E847CF">
        <w:rPr>
          <w:rFonts w:cs="Times New Roman PS"/>
        </w:rPr>
        <w:t xml:space="preserve"> 2674, 2675 (2017</w:t>
      </w:r>
      <w:r>
        <w:rPr>
          <w:rFonts w:cs="Times New Roman PS"/>
        </w:rPr>
        <w:t>)</w:t>
      </w:r>
      <w:r w:rsidRPr="00E847CF">
        <w:rPr>
          <w:rFonts w:cs="Times New Roman PS"/>
        </w:rPr>
        <w:t>.</w:t>
      </w:r>
    </w:p>
  </w:footnote>
  <w:footnote w:id="5">
    <w:p w14:paraId="3706BF1A" w14:textId="3183BAD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generally </w:t>
      </w:r>
      <w:r>
        <w:rPr>
          <w:rFonts w:cs="Times New Roman PS"/>
        </w:rPr>
        <w:t>José</w:t>
      </w:r>
      <w:r w:rsidRPr="00E847CF">
        <w:rPr>
          <w:rFonts w:cs="Times New Roman PS"/>
        </w:rPr>
        <w:t xml:space="preserve"> Azar</w:t>
      </w:r>
      <w:r>
        <w:rPr>
          <w:rFonts w:cs="Times New Roman PS"/>
        </w:rPr>
        <w:t xml:space="preserve">, Martin C. Schmalz &amp; Isabel Tecu, </w:t>
      </w:r>
      <w:r w:rsidRPr="00E847CF">
        <w:rPr>
          <w:rFonts w:cs="Times New Roman PS"/>
          <w:i/>
        </w:rPr>
        <w:t>Anticompetitive Effects of Common Ownership</w:t>
      </w:r>
      <w:r w:rsidRPr="00E847CF">
        <w:rPr>
          <w:rFonts w:cs="Times New Roman PS"/>
        </w:rPr>
        <w:t>, 73 J</w:t>
      </w:r>
      <w:r w:rsidRPr="00E847CF">
        <w:rPr>
          <w:rFonts w:cs="Times New Roman PS"/>
          <w:smallCaps/>
        </w:rPr>
        <w:t>. Fin</w:t>
      </w:r>
      <w:r w:rsidRPr="00E847CF">
        <w:rPr>
          <w:rFonts w:cs="Times New Roman PS"/>
        </w:rPr>
        <w:t xml:space="preserve">. 1513 (2018) </w:t>
      </w:r>
      <w:r>
        <w:rPr>
          <w:rFonts w:cs="Times New Roman PS"/>
        </w:rPr>
        <w:t>(airline industry)</w:t>
      </w:r>
      <w:r w:rsidRPr="00E847CF">
        <w:rPr>
          <w:rFonts w:cs="Times New Roman PS"/>
        </w:rPr>
        <w:t>; Jos</w:t>
      </w:r>
      <w:r>
        <w:rPr>
          <w:rFonts w:cs="Times New Roman PS"/>
        </w:rPr>
        <w:t>é</w:t>
      </w:r>
      <w:r w:rsidRPr="00E847CF">
        <w:rPr>
          <w:rFonts w:cs="Times New Roman PS"/>
        </w:rPr>
        <w:t xml:space="preserve"> Azar</w:t>
      </w:r>
      <w:r>
        <w:rPr>
          <w:rFonts w:cs="Times New Roman PS"/>
        </w:rPr>
        <w:t>, Sahil Raina &amp; Martin C. Schmalz</w:t>
      </w:r>
      <w:r w:rsidRPr="00E847CF">
        <w:rPr>
          <w:rFonts w:cs="Times New Roman PS"/>
        </w:rPr>
        <w:t xml:space="preserve">, </w:t>
      </w:r>
      <w:r w:rsidRPr="00941B46">
        <w:rPr>
          <w:rFonts w:cs="Times New Roman PS"/>
        </w:rPr>
        <w:t>Ultimate Ownership and Bank Competition</w:t>
      </w:r>
      <w:r w:rsidRPr="00ED0929">
        <w:rPr>
          <w:rFonts w:cs="Times New Roman PS"/>
        </w:rPr>
        <w:t xml:space="preserve"> </w:t>
      </w:r>
      <w:r w:rsidRPr="00E847CF">
        <w:rPr>
          <w:rFonts w:cs="Times New Roman PS"/>
        </w:rPr>
        <w:t xml:space="preserve">(May </w:t>
      </w:r>
      <w:r>
        <w:rPr>
          <w:rFonts w:cs="Times New Roman PS"/>
        </w:rPr>
        <w:t xml:space="preserve">4, </w:t>
      </w:r>
      <w:r w:rsidRPr="00E847CF">
        <w:rPr>
          <w:rFonts w:cs="Times New Roman PS"/>
        </w:rPr>
        <w:t xml:space="preserve">2019) </w:t>
      </w:r>
      <w:r>
        <w:rPr>
          <w:rFonts w:cs="Times New Roman PS"/>
        </w:rPr>
        <w:t xml:space="preserve">(unpublished manuscript), </w:t>
      </w:r>
      <w:r w:rsidRPr="00941B46">
        <w:rPr>
          <w:rFonts w:cs="Times New Roman PS"/>
        </w:rPr>
        <w:t>https://papers.ssrn.com/sol3/papers.cfm?abstract_id=2710252</w:t>
      </w:r>
      <w:r w:rsidRPr="00941B46" w:rsidDel="00A9586D">
        <w:rPr>
          <w:rFonts w:cs="Times New Roman PS"/>
        </w:rPr>
        <w:t xml:space="preserve"> </w:t>
      </w:r>
      <w:r>
        <w:rPr>
          <w:rFonts w:cs="Times New Roman PS"/>
        </w:rPr>
        <w:t>[</w:t>
      </w:r>
      <w:r w:rsidRPr="006227DE">
        <w:rPr>
          <w:rFonts w:cs="Times New Roman PS"/>
        </w:rPr>
        <w:t>https://perma.cc</w:t>
      </w:r>
      <w:r>
        <w:rPr>
          <w:rFonts w:cs="Times New Roman PS"/>
        </w:rPr>
        <w:br/>
      </w:r>
      <w:r w:rsidRPr="006227DE">
        <w:rPr>
          <w:rFonts w:cs="Times New Roman PS"/>
        </w:rPr>
        <w:t>/WU9E-9HP8</w:t>
      </w:r>
      <w:r>
        <w:rPr>
          <w:rFonts w:cs="Times New Roman PS"/>
        </w:rPr>
        <w:t>] (banking sector)</w:t>
      </w:r>
      <w:r w:rsidRPr="00E847CF">
        <w:rPr>
          <w:rFonts w:cs="Times New Roman PS"/>
        </w:rPr>
        <w:t>.</w:t>
      </w:r>
    </w:p>
  </w:footnote>
  <w:footnote w:id="6">
    <w:p w14:paraId="18DE1566" w14:textId="73EC08C2"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infra</w:t>
      </w:r>
      <w:r w:rsidRPr="00E847CF">
        <w:rPr>
          <w:rFonts w:cs="Times New Roman PS"/>
        </w:rPr>
        <w:t xml:space="preserve"> Part I.</w:t>
      </w:r>
    </w:p>
  </w:footnote>
  <w:footnote w:id="7">
    <w:p w14:paraId="1AE7B270" w14:textId="30D53762"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See respectively</w:t>
      </w:r>
      <w:r>
        <w:rPr>
          <w:rFonts w:cs="Times New Roman PS"/>
        </w:rPr>
        <w:t xml:space="preserve"> </w:t>
      </w:r>
      <w:r w:rsidRPr="00E847CF">
        <w:rPr>
          <w:rFonts w:cs="Times New Roman PS"/>
        </w:rPr>
        <w:t>Miguel Anton et al</w:t>
      </w:r>
      <w:r>
        <w:rPr>
          <w:rFonts w:cs="Times New Roman PS"/>
        </w:rPr>
        <w:t>.</w:t>
      </w:r>
      <w:r w:rsidRPr="00E847CF">
        <w:rPr>
          <w:rFonts w:cs="Times New Roman PS"/>
        </w:rPr>
        <w:t xml:space="preserve">, </w:t>
      </w:r>
      <w:r w:rsidRPr="00E847CF">
        <w:rPr>
          <w:rFonts w:cs="Times New Roman PS"/>
          <w:i/>
        </w:rPr>
        <w:t>Common Ownership, Competition, and Top Management Incentives</w:t>
      </w:r>
      <w:r w:rsidRPr="00E847CF">
        <w:rPr>
          <w:rFonts w:cs="Times New Roman PS"/>
        </w:rPr>
        <w:t xml:space="preserve"> </w:t>
      </w:r>
      <w:r>
        <w:rPr>
          <w:rFonts w:cs="Times New Roman PS"/>
        </w:rPr>
        <w:t xml:space="preserve">1 </w:t>
      </w:r>
      <w:r w:rsidRPr="00E847CF">
        <w:rPr>
          <w:rFonts w:cs="Times New Roman PS"/>
        </w:rPr>
        <w:t>(</w:t>
      </w:r>
      <w:r>
        <w:rPr>
          <w:rFonts w:cs="Times New Roman PS"/>
        </w:rPr>
        <w:t xml:space="preserve">Cowles Found., Discussion Paper No. 2046, </w:t>
      </w:r>
      <w:r w:rsidRPr="00E847CF">
        <w:rPr>
          <w:rFonts w:cs="Times New Roman PS"/>
        </w:rPr>
        <w:t>2016)</w:t>
      </w:r>
      <w:r>
        <w:rPr>
          <w:rFonts w:cs="Times New Roman PS"/>
        </w:rPr>
        <w:t xml:space="preserve">, </w:t>
      </w:r>
      <w:r w:rsidRPr="00751078">
        <w:t>https://cowles.yale.edu/sites/default/files/files/pub/d20/d2046.pdf</w:t>
      </w:r>
      <w:r>
        <w:t xml:space="preserve"> [</w:t>
      </w:r>
      <w:r w:rsidRPr="00751078">
        <w:t>https://perma.cc/4VMB-MYC9</w:t>
      </w:r>
      <w:r>
        <w:t>]</w:t>
      </w:r>
      <w:r w:rsidRPr="00E847CF">
        <w:rPr>
          <w:rFonts w:cs="Times New Roman PS"/>
        </w:rPr>
        <w:t xml:space="preserve"> [hereinafter AEGS (2016)]; Miguel Anton et al</w:t>
      </w:r>
      <w:r>
        <w:rPr>
          <w:rFonts w:cs="Times New Roman PS"/>
        </w:rPr>
        <w:t>.</w:t>
      </w:r>
      <w:r w:rsidRPr="00E847CF">
        <w:rPr>
          <w:rFonts w:cs="Times New Roman PS"/>
        </w:rPr>
        <w:t xml:space="preserve">, </w:t>
      </w:r>
      <w:r w:rsidRPr="00E847CF">
        <w:rPr>
          <w:rFonts w:cs="Times New Roman PS"/>
          <w:i/>
        </w:rPr>
        <w:t>Common Ownership, Competition, and Top Management Incentives</w:t>
      </w:r>
      <w:r w:rsidRPr="00E847CF">
        <w:rPr>
          <w:rFonts w:cs="Times New Roman PS"/>
        </w:rPr>
        <w:t xml:space="preserve"> </w:t>
      </w:r>
      <w:r>
        <w:rPr>
          <w:rFonts w:cs="Times New Roman PS"/>
        </w:rPr>
        <w:t xml:space="preserve">1 </w:t>
      </w:r>
      <w:r w:rsidRPr="00E847CF">
        <w:rPr>
          <w:rFonts w:cs="Times New Roman PS"/>
        </w:rPr>
        <w:t>(</w:t>
      </w:r>
      <w:r>
        <w:rPr>
          <w:rFonts w:cs="Times New Roman PS"/>
        </w:rPr>
        <w:t>ECGI Working Paper Series in Fin., Working Paper No. 511/2017</w:t>
      </w:r>
      <w:r w:rsidRPr="00E847CF">
        <w:rPr>
          <w:rFonts w:cs="Times New Roman PS"/>
        </w:rPr>
        <w:t>, 2018)</w:t>
      </w:r>
      <w:r>
        <w:rPr>
          <w:rFonts w:cs="Times New Roman PS"/>
        </w:rPr>
        <w:t xml:space="preserve">, </w:t>
      </w:r>
      <w:r w:rsidRPr="00751078">
        <w:t>https://papers.ssrn.com/sol3/papers.cfm?abstract_id=2802332</w:t>
      </w:r>
      <w:r w:rsidRPr="00E847CF">
        <w:rPr>
          <w:rFonts w:cs="Times New Roman PS"/>
        </w:rPr>
        <w:t xml:space="preserve"> </w:t>
      </w:r>
      <w:r>
        <w:rPr>
          <w:rFonts w:cs="Times New Roman PS"/>
        </w:rPr>
        <w:t>[</w:t>
      </w:r>
      <w:r w:rsidRPr="00751078">
        <w:t>https://</w:t>
      </w:r>
      <w:r>
        <w:br/>
      </w:r>
      <w:r w:rsidRPr="00751078">
        <w:t>perma.cc/YU74-AMMG</w:t>
      </w:r>
      <w:r>
        <w:rPr>
          <w:rFonts w:cs="Times New Roman PS"/>
        </w:rPr>
        <w:t xml:space="preserve">] </w:t>
      </w:r>
      <w:r w:rsidRPr="00E847CF">
        <w:rPr>
          <w:rFonts w:cs="Times New Roman PS"/>
        </w:rPr>
        <w:t>[hereinafter AEGS (2018)]; Azar</w:t>
      </w:r>
      <w:r>
        <w:rPr>
          <w:rFonts w:cs="Times New Roman PS"/>
        </w:rPr>
        <w:t>, Schmalz &amp; Tecu</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sidRPr="00E847CF">
        <w:rPr>
          <w:rFonts w:cs="Times New Roman PS"/>
        </w:rPr>
        <w:t>, at 1556-57; Azar</w:t>
      </w:r>
      <w:r>
        <w:rPr>
          <w:rFonts w:cs="Times New Roman PS"/>
        </w:rPr>
        <w:t>, Raina &amp; Schmalz</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sidRPr="00E847CF">
        <w:rPr>
          <w:rFonts w:cs="Times New Roman PS"/>
        </w:rPr>
        <w:t>, at 5.</w:t>
      </w:r>
    </w:p>
  </w:footnote>
  <w:footnote w:id="8">
    <w:p w14:paraId="45B537FF" w14:textId="2EF02C82"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See, e.g.</w:t>
      </w:r>
      <w:r>
        <w:rPr>
          <w:rFonts w:cs="Times New Roman PS"/>
        </w:rPr>
        <w:t>,</w:t>
      </w:r>
      <w:r>
        <w:rPr>
          <w:rFonts w:cs="Times New Roman PS"/>
          <w:i/>
        </w:rPr>
        <w:t xml:space="preserve"> </w:t>
      </w:r>
      <w:r w:rsidRPr="00E847CF">
        <w:rPr>
          <w:rFonts w:cs="Times New Roman PS"/>
        </w:rPr>
        <w:t xml:space="preserve">AEGS (2016), </w:t>
      </w:r>
      <w:r w:rsidRPr="00E847CF">
        <w:rPr>
          <w:rFonts w:cs="Times New Roman PS"/>
          <w:i/>
        </w:rPr>
        <w:t>supra</w:t>
      </w:r>
      <w:r w:rsidRPr="00E847CF">
        <w:rPr>
          <w:rFonts w:cs="Times New Roman PS"/>
        </w:rPr>
        <w:t xml:space="preserve"> note 5</w:t>
      </w:r>
      <w:r>
        <w:rPr>
          <w:rFonts w:cs="Times New Roman PS"/>
        </w:rPr>
        <w:t>, at 2-3 (describing their model calculating RPE)</w:t>
      </w:r>
      <w:r w:rsidRPr="00E847CF">
        <w:rPr>
          <w:rFonts w:cs="Times New Roman PS"/>
        </w:rPr>
        <w:t xml:space="preserve">; Rebecca DeSimone, </w:t>
      </w:r>
      <w:r w:rsidRPr="00ED0929">
        <w:rPr>
          <w:rFonts w:cs="Times New Roman PS"/>
        </w:rPr>
        <w:t>Stealth Socialism? Common Ownership and Executive Incentives</w:t>
      </w:r>
      <w:r>
        <w:rPr>
          <w:rFonts w:cs="Times New Roman PS"/>
        </w:rPr>
        <w:t xml:space="preserve"> 2</w:t>
      </w:r>
      <w:r w:rsidRPr="00E847CF">
        <w:rPr>
          <w:rFonts w:cs="Times New Roman PS"/>
        </w:rPr>
        <w:t xml:space="preserve"> (Oct. </w:t>
      </w:r>
      <w:r>
        <w:rPr>
          <w:rFonts w:cs="Times New Roman PS"/>
        </w:rPr>
        <w:t xml:space="preserve">7, </w:t>
      </w:r>
      <w:r w:rsidRPr="00E847CF">
        <w:rPr>
          <w:rFonts w:cs="Times New Roman PS"/>
        </w:rPr>
        <w:t>2017</w:t>
      </w:r>
      <w:r>
        <w:rPr>
          <w:rFonts w:cs="Times New Roman PS"/>
        </w:rPr>
        <w:t xml:space="preserve">) (unpublished manuscript) (on file with author); </w:t>
      </w:r>
      <w:r w:rsidRPr="00E847CF">
        <w:rPr>
          <w:rFonts w:cs="Times New Roman PS"/>
        </w:rPr>
        <w:t xml:space="preserve">Heung Jin Kwon, </w:t>
      </w:r>
      <w:r w:rsidRPr="00ED0929">
        <w:rPr>
          <w:rFonts w:cs="Times New Roman PS"/>
        </w:rPr>
        <w:t xml:space="preserve">Executive Compensation </w:t>
      </w:r>
      <w:r>
        <w:rPr>
          <w:rFonts w:cs="Times New Roman PS"/>
        </w:rPr>
        <w:t>U</w:t>
      </w:r>
      <w:r w:rsidRPr="00ED0929">
        <w:rPr>
          <w:rFonts w:cs="Times New Roman PS"/>
        </w:rPr>
        <w:t>nder Common Ownership</w:t>
      </w:r>
      <w:r>
        <w:rPr>
          <w:rFonts w:cs="Times New Roman PS"/>
        </w:rPr>
        <w:t xml:space="preserve"> 1 (</w:t>
      </w:r>
      <w:r w:rsidRPr="00E847CF">
        <w:rPr>
          <w:rFonts w:cs="Times New Roman PS"/>
        </w:rPr>
        <w:t xml:space="preserve">Nov. </w:t>
      </w:r>
      <w:r>
        <w:rPr>
          <w:rFonts w:cs="Times New Roman PS"/>
        </w:rPr>
        <w:t xml:space="preserve">29, </w:t>
      </w:r>
      <w:r w:rsidRPr="00E847CF">
        <w:rPr>
          <w:rFonts w:cs="Times New Roman PS"/>
        </w:rPr>
        <w:t>2016)</w:t>
      </w:r>
      <w:r>
        <w:rPr>
          <w:rFonts w:cs="Times New Roman PS"/>
        </w:rPr>
        <w:t xml:space="preserve"> (unpublished manuscript), </w:t>
      </w:r>
      <w:r w:rsidRPr="004F7E8D">
        <w:t>http://fmaconferences.org/Boston/ExecutiveCompensationunderCommonOwnership.pdf</w:t>
      </w:r>
      <w:r>
        <w:t xml:space="preserve"> [</w:t>
      </w:r>
      <w:r w:rsidRPr="00935C5D">
        <w:t>https://perma.cc/ES7W-FF7G</w:t>
      </w:r>
      <w:r>
        <w:t>]</w:t>
      </w:r>
      <w:r w:rsidRPr="00E847CF">
        <w:rPr>
          <w:rFonts w:cs="Times New Roman PS"/>
        </w:rPr>
        <w:t>; Lantian</w:t>
      </w:r>
      <w:r>
        <w:rPr>
          <w:rFonts w:cs="Times New Roman PS"/>
        </w:rPr>
        <w:t xml:space="preserve"> (Max)</w:t>
      </w:r>
      <w:r w:rsidRPr="00E847CF">
        <w:rPr>
          <w:rFonts w:cs="Times New Roman PS"/>
        </w:rPr>
        <w:t xml:space="preserve"> Liang, </w:t>
      </w:r>
      <w:r w:rsidRPr="00ED0929">
        <w:rPr>
          <w:rFonts w:cs="Times New Roman PS"/>
        </w:rPr>
        <w:t>Common Ownership and Executive Compensation</w:t>
      </w:r>
      <w:r w:rsidRPr="00E847CF">
        <w:rPr>
          <w:rFonts w:cs="Times New Roman PS"/>
        </w:rPr>
        <w:t xml:space="preserve"> </w:t>
      </w:r>
      <w:r>
        <w:rPr>
          <w:rFonts w:cs="Times New Roman PS"/>
        </w:rPr>
        <w:t>1 (</w:t>
      </w:r>
      <w:r w:rsidRPr="00E847CF">
        <w:rPr>
          <w:rFonts w:cs="Times New Roman PS"/>
        </w:rPr>
        <w:t>Oct. 2016)</w:t>
      </w:r>
      <w:r>
        <w:rPr>
          <w:rFonts w:cs="Times New Roman PS"/>
        </w:rPr>
        <w:t xml:space="preserve"> (unpublished manuscript), </w:t>
      </w:r>
      <w:r w:rsidRPr="004F7E8D">
        <w:t>https://acfr.aut.ac.nz/__data/assets</w:t>
      </w:r>
      <w:r>
        <w:br/>
      </w:r>
      <w:r w:rsidRPr="004F7E8D">
        <w:t>/pdf_file/0008/58085/43082-L-Liang-Common_ownership_V2.pdf</w:t>
      </w:r>
      <w:r>
        <w:rPr>
          <w:rFonts w:cs="Times New Roman PS"/>
        </w:rPr>
        <w:t xml:space="preserve"> [</w:t>
      </w:r>
      <w:r w:rsidRPr="007F7A69">
        <w:rPr>
          <w:rFonts w:cs="Times New Roman PS"/>
        </w:rPr>
        <w:t>https://perma.cc/LU9E-UU5Z</w:t>
      </w:r>
      <w:r>
        <w:rPr>
          <w:rFonts w:cs="Times New Roman PS"/>
        </w:rPr>
        <w:t>].</w:t>
      </w:r>
    </w:p>
  </w:footnote>
  <w:footnote w:id="9">
    <w:p w14:paraId="54320C26" w14:textId="71FFAE7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Bengt Holmstrom, </w:t>
      </w:r>
      <w:r w:rsidRPr="00E847CF">
        <w:rPr>
          <w:rFonts w:cs="Times New Roman PS"/>
          <w:i/>
        </w:rPr>
        <w:t>Moral Hazard in Teams</w:t>
      </w:r>
      <w:r w:rsidRPr="00E847CF">
        <w:rPr>
          <w:rFonts w:cs="Times New Roman PS"/>
        </w:rPr>
        <w:t xml:space="preserve">, 13 </w:t>
      </w:r>
      <w:r w:rsidRPr="00E847CF">
        <w:rPr>
          <w:rFonts w:cs="Times New Roman PS"/>
          <w:smallCaps/>
        </w:rPr>
        <w:t>Bell J. Econ</w:t>
      </w:r>
      <w:r w:rsidRPr="00E847CF">
        <w:rPr>
          <w:rFonts w:cs="Times New Roman PS"/>
        </w:rPr>
        <w:t>. 324, 334-39 (1982) (showing that RPE-based contracts can improve risk sharing).</w:t>
      </w:r>
    </w:p>
  </w:footnote>
  <w:footnote w:id="10">
    <w:p w14:paraId="1F08F7D5" w14:textId="6E9E80F5"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AEGS (2016),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_Ref19898494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Pr>
          <w:rFonts w:cs="Times New Roman PS"/>
        </w:rPr>
        <w:t>, at 54 (</w:t>
      </w:r>
      <w:r w:rsidRPr="00E847CF">
        <w:rPr>
          <w:rFonts w:cs="Times New Roman PS"/>
        </w:rPr>
        <w:t xml:space="preserve">finding negative association between common ownership and use of RPE); </w:t>
      </w:r>
      <w:r w:rsidRPr="00E847CF">
        <w:rPr>
          <w:rFonts w:cs="Times New Roman PS"/>
          <w:i/>
        </w:rPr>
        <w:t>see also</w:t>
      </w:r>
      <w:r w:rsidRPr="00E847CF">
        <w:rPr>
          <w:rFonts w:cs="Times New Roman PS"/>
        </w:rPr>
        <w:t xml:space="preserve"> Liang,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_Ref19898488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at 5</w:t>
      </w:r>
      <w:r w:rsidRPr="00E847CF">
        <w:rPr>
          <w:rFonts w:cs="Times New Roman PS"/>
        </w:rPr>
        <w:t xml:space="preserve"> (</w:t>
      </w:r>
      <w:r>
        <w:rPr>
          <w:rFonts w:cs="Times New Roman PS"/>
        </w:rPr>
        <w:t>same)</w:t>
      </w:r>
      <w:r w:rsidRPr="00E847CF">
        <w:rPr>
          <w:rFonts w:cs="Times New Roman PS"/>
        </w:rPr>
        <w:t>.</w:t>
      </w:r>
    </w:p>
  </w:footnote>
  <w:footnote w:id="11">
    <w:p w14:paraId="36185AAE" w14:textId="3938A0EB"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Kwon,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_Ref19898488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at 17</w:t>
      </w:r>
      <w:r w:rsidRPr="00E847CF">
        <w:rPr>
          <w:rFonts w:cs="Times New Roman PS"/>
        </w:rPr>
        <w:t>.</w:t>
      </w:r>
    </w:p>
  </w:footnote>
  <w:footnote w:id="12">
    <w:p w14:paraId="5F5B96CE" w14:textId="3AA68AC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DeSimone,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_Ref19898488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at 13.</w:t>
      </w:r>
    </w:p>
  </w:footnote>
  <w:footnote w:id="13">
    <w:p w14:paraId="57B5559F" w14:textId="483443B3"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A0C86">
        <w:rPr>
          <w:rFonts w:cs="Times New Roman PS"/>
          <w:i/>
        </w:rPr>
        <w:t>See generally</w:t>
      </w:r>
      <w:r>
        <w:rPr>
          <w:rFonts w:cs="Times New Roman PS"/>
        </w:rPr>
        <w:t xml:space="preserve"> </w:t>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_Ref19898494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Pr>
          <w:rFonts w:cs="Times New Roman PS"/>
        </w:rPr>
        <w:t>.</w:t>
      </w:r>
    </w:p>
  </w:footnote>
  <w:footnote w:id="14">
    <w:p w14:paraId="62A2871B" w14:textId="4DFCF3CC"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7318D0">
        <w:rPr>
          <w:rFonts w:cs="Times New Roman PS"/>
          <w:i/>
        </w:rPr>
        <w:t>.</w:t>
      </w:r>
      <w:r w:rsidRPr="00E847CF">
        <w:rPr>
          <w:rFonts w:cs="Times New Roman PS"/>
        </w:rPr>
        <w:t xml:space="preserve"> at 2-4.</w:t>
      </w:r>
    </w:p>
  </w:footnote>
  <w:footnote w:id="15">
    <w:p w14:paraId="1026088E" w14:textId="62B5F71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As described </w:t>
      </w:r>
      <w:r w:rsidRPr="00E847CF">
        <w:rPr>
          <w:rFonts w:cs="Times New Roman PS"/>
          <w:i/>
        </w:rPr>
        <w:t>infra</w:t>
      </w:r>
      <w:r w:rsidRPr="00E847CF">
        <w:rPr>
          <w:rFonts w:cs="Times New Roman PS"/>
        </w:rPr>
        <w:t xml:space="preserve"> </w:t>
      </w:r>
      <w:r>
        <w:rPr>
          <w:rFonts w:cs="Times New Roman PS"/>
        </w:rPr>
        <w:t>Section</w:t>
      </w:r>
      <w:r w:rsidRPr="00E847CF">
        <w:rPr>
          <w:rFonts w:cs="Times New Roman PS"/>
        </w:rPr>
        <w:t xml:space="preserve"> II.A, explicit RPE metrics are directly incorporated into compensation instruments.</w:t>
      </w:r>
      <w:r>
        <w:rPr>
          <w:rFonts w:cs="Times New Roman PS"/>
        </w:rPr>
        <w:t xml:space="preserve"> </w:t>
      </w:r>
      <w:r w:rsidRPr="00E847CF">
        <w:rPr>
          <w:rFonts w:cs="Times New Roman PS"/>
        </w:rPr>
        <w:t>Implicit RPE arises when discretionary elements of compensation are adjusted to reflect relative performance</w:t>
      </w:r>
      <w:r>
        <w:rPr>
          <w:rFonts w:cs="Times New Roman PS"/>
        </w:rPr>
        <w:t>.</w:t>
      </w:r>
    </w:p>
  </w:footnote>
  <w:footnote w:id="16">
    <w:p w14:paraId="1E22D8B9" w14:textId="10F38129"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Lucian </w:t>
      </w:r>
      <w:r>
        <w:rPr>
          <w:rFonts w:cs="Times New Roman PS"/>
        </w:rPr>
        <w:t>A.</w:t>
      </w:r>
      <w:r w:rsidRPr="00E847CF">
        <w:rPr>
          <w:rFonts w:cs="Times New Roman PS"/>
        </w:rPr>
        <w:t xml:space="preserve"> Bebchuk &amp; Scott Hirst, </w:t>
      </w:r>
      <w:r w:rsidRPr="00E847CF">
        <w:rPr>
          <w:rFonts w:cs="Times New Roman PS"/>
          <w:i/>
        </w:rPr>
        <w:t>Index Funds and the Future of Corporate Governance</w:t>
      </w:r>
      <w:r>
        <w:rPr>
          <w:rFonts w:cs="Times New Roman PS"/>
          <w:i/>
        </w:rPr>
        <w:t>: Theory, Evidence, and Policy</w:t>
      </w:r>
      <w:r>
        <w:rPr>
          <w:rFonts w:cs="Times New Roman PS"/>
        </w:rPr>
        <w:t>,</w:t>
      </w:r>
      <w:r w:rsidRPr="00E847CF">
        <w:rPr>
          <w:rFonts w:cs="Times New Roman PS"/>
        </w:rPr>
        <w:t xml:space="preserve"> </w:t>
      </w:r>
      <w:r>
        <w:rPr>
          <w:rFonts w:cs="Times New Roman PS"/>
        </w:rPr>
        <w:t xml:space="preserve">119 </w:t>
      </w:r>
      <w:r>
        <w:rPr>
          <w:rFonts w:cs="Times New Roman PS"/>
          <w:smallCaps/>
        </w:rPr>
        <w:t xml:space="preserve">Colum. L. Rev. </w:t>
      </w:r>
      <w:r>
        <w:rPr>
          <w:rFonts w:cs="Times New Roman PS"/>
        </w:rPr>
        <w:t xml:space="preserve">(forthcoming Dec. 2019) (manuscript at 1), </w:t>
      </w:r>
      <w:r w:rsidRPr="006716D5">
        <w:rPr>
          <w:rFonts w:cs="Times New Roman PS"/>
        </w:rPr>
        <w:t>https://papers.ssrn.com/sol3/papers.cfm?abstract_id=3282794</w:t>
      </w:r>
      <w:r>
        <w:rPr>
          <w:rFonts w:cs="Times New Roman PS"/>
        </w:rPr>
        <w:t xml:space="preserve"> [</w:t>
      </w:r>
      <w:r w:rsidRPr="006716D5">
        <w:rPr>
          <w:rFonts w:cs="Times New Roman PS"/>
        </w:rPr>
        <w:t>https://</w:t>
      </w:r>
      <w:r>
        <w:rPr>
          <w:rFonts w:cs="Times New Roman PS"/>
        </w:rPr>
        <w:br/>
      </w:r>
      <w:r w:rsidRPr="006716D5">
        <w:rPr>
          <w:rFonts w:cs="Times New Roman PS"/>
        </w:rPr>
        <w:t>perma.cc/53S7-N2PS</w:t>
      </w:r>
      <w:r>
        <w:rPr>
          <w:rFonts w:cs="Times New Roman PS"/>
        </w:rPr>
        <w:t>]</w:t>
      </w:r>
      <w:r w:rsidRPr="00E847CF">
        <w:rPr>
          <w:rFonts w:cs="Times New Roman PS"/>
        </w:rPr>
        <w:t xml:space="preserve"> (noting dramatic increase in assets held by index funds).</w:t>
      </w:r>
    </w:p>
  </w:footnote>
  <w:footnote w:id="17">
    <w:p w14:paraId="39E10055" w14:textId="54D8843F"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Id.</w:t>
      </w:r>
      <w:r>
        <w:rPr>
          <w:rFonts w:cs="Times New Roman PS"/>
        </w:rPr>
        <w:t xml:space="preserve"> (manuscript at 11-12).</w:t>
      </w:r>
    </w:p>
  </w:footnote>
  <w:footnote w:id="18">
    <w:p w14:paraId="07D68F87" w14:textId="4DD51B0C"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Jan Fichtne</w:t>
      </w:r>
      <w:r>
        <w:rPr>
          <w:rFonts w:cs="Times New Roman PS"/>
        </w:rPr>
        <w:t>r, Eelke M. Heemskerk &amp; Javier Garcia-Bernardo</w:t>
      </w:r>
      <w:r w:rsidRPr="00E847CF">
        <w:rPr>
          <w:rFonts w:cs="Times New Roman PS"/>
        </w:rPr>
        <w:t xml:space="preserve">, </w:t>
      </w:r>
      <w:r w:rsidRPr="00E847CF">
        <w:rPr>
          <w:rFonts w:cs="Times New Roman PS"/>
          <w:i/>
        </w:rPr>
        <w:t>Hidden Power of the Big Three? Passive Index Funds, Re-</w:t>
      </w:r>
      <w:r>
        <w:rPr>
          <w:rFonts w:cs="Times New Roman PS"/>
          <w:i/>
        </w:rPr>
        <w:t>C</w:t>
      </w:r>
      <w:r w:rsidRPr="00E847CF">
        <w:rPr>
          <w:rFonts w:cs="Times New Roman PS"/>
          <w:i/>
        </w:rPr>
        <w:t>oncentration of Corporate Ownership, and New Financial Risk</w:t>
      </w:r>
      <w:r w:rsidRPr="00E847CF">
        <w:rPr>
          <w:rFonts w:cs="Times New Roman PS"/>
        </w:rPr>
        <w:t xml:space="preserve">, 19 </w:t>
      </w:r>
      <w:r w:rsidRPr="00E847CF">
        <w:rPr>
          <w:rFonts w:cs="Times New Roman PS"/>
          <w:smallCaps/>
        </w:rPr>
        <w:t xml:space="preserve">Bus. &amp; </w:t>
      </w:r>
      <w:r>
        <w:rPr>
          <w:rFonts w:cs="Times New Roman PS"/>
          <w:smallCaps/>
        </w:rPr>
        <w:t>Pol.</w:t>
      </w:r>
      <w:r w:rsidRPr="00E847CF">
        <w:rPr>
          <w:rFonts w:cs="Times New Roman PS"/>
          <w:smallCaps/>
        </w:rPr>
        <w:t xml:space="preserve"> </w:t>
      </w:r>
      <w:r w:rsidRPr="00E847CF">
        <w:rPr>
          <w:rFonts w:cs="Times New Roman PS"/>
        </w:rPr>
        <w:t>298, 313 (2017).</w:t>
      </w:r>
    </w:p>
  </w:footnote>
  <w:footnote w:id="19">
    <w:p w14:paraId="4D4CEEEE" w14:textId="2740FEF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Azar</w:t>
      </w:r>
      <w:r>
        <w:rPr>
          <w:rFonts w:cs="Times New Roman PS"/>
        </w:rPr>
        <w:t>, Schmalz &amp; Tecu</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Pr>
          <w:rFonts w:cs="Times New Roman PS"/>
        </w:rPr>
        <w:t>, at 1558</w:t>
      </w:r>
      <w:r w:rsidRPr="00E847CF">
        <w:rPr>
          <w:rFonts w:cs="Times New Roman PS"/>
        </w:rPr>
        <w:t>; Azar</w:t>
      </w:r>
      <w:r>
        <w:rPr>
          <w:rFonts w:cs="Times New Roman PS"/>
        </w:rPr>
        <w:t>, Raina &amp; Schmalz</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Pr>
          <w:rFonts w:cs="Times New Roman PS"/>
        </w:rPr>
        <w:t>, at 15</w:t>
      </w:r>
      <w:r w:rsidRPr="00E847CF">
        <w:rPr>
          <w:rFonts w:cs="Times New Roman PS"/>
        </w:rPr>
        <w:t>.</w:t>
      </w:r>
    </w:p>
  </w:footnote>
  <w:footnote w:id="20">
    <w:p w14:paraId="1B7705D7" w14:textId="5A24825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Azar</w:t>
      </w:r>
      <w:r>
        <w:rPr>
          <w:rFonts w:cs="Times New Roman PS"/>
        </w:rPr>
        <w:t>, Schmalz &amp; Tecu</w:t>
      </w:r>
      <w:r w:rsidRPr="00FA14DD">
        <w:rPr>
          <w:rFonts w:cs="Times New Roman PS"/>
        </w:rPr>
        <w:t xml:space="preserve">, </w:t>
      </w:r>
      <w:r w:rsidRPr="00FA14DD">
        <w:rPr>
          <w:rFonts w:cs="Times New Roman PS"/>
          <w:i/>
        </w:rPr>
        <w:t>supra</w:t>
      </w:r>
      <w:r w:rsidRPr="00FA14DD">
        <w:rPr>
          <w:rFonts w:cs="Times New Roman PS"/>
        </w:rPr>
        <w:t xml:space="preserve"> note </w:t>
      </w:r>
      <w:r w:rsidRPr="00FA14DD">
        <w:rPr>
          <w:rFonts w:cs="Times New Roman PS"/>
        </w:rPr>
        <w:fldChar w:fldCharType="begin"/>
      </w:r>
      <w:r w:rsidRPr="00FA14DD">
        <w:rPr>
          <w:rFonts w:cs="Times New Roman PS"/>
        </w:rPr>
        <w:instrText xml:space="preserve"> NOTEREF _Ref19897592 \h </w:instrText>
      </w:r>
      <w:r>
        <w:rPr>
          <w:rFonts w:cs="Times New Roman PS"/>
          <w:i/>
        </w:rPr>
        <w:instrText xml:space="preserve"> \* MERGEFORMAT </w:instrText>
      </w:r>
      <w:r w:rsidRPr="00FA14DD">
        <w:rPr>
          <w:rFonts w:cs="Times New Roman PS"/>
        </w:rPr>
      </w:r>
      <w:r w:rsidRPr="00FA14DD">
        <w:rPr>
          <w:rFonts w:cs="Times New Roman PS"/>
        </w:rPr>
        <w:fldChar w:fldCharType="separate"/>
      </w:r>
      <w:r w:rsidR="005C51FD">
        <w:rPr>
          <w:rFonts w:cs="Times New Roman PS"/>
        </w:rPr>
        <w:t>3</w:t>
      </w:r>
      <w:r w:rsidRPr="00FA14DD">
        <w:rPr>
          <w:rFonts w:cs="Times New Roman PS"/>
        </w:rPr>
        <w:fldChar w:fldCharType="end"/>
      </w:r>
      <w:r>
        <w:rPr>
          <w:rFonts w:cs="Times New Roman PS"/>
        </w:rPr>
        <w:t>,</w:t>
      </w:r>
      <w:r w:rsidRPr="00E847CF">
        <w:rPr>
          <w:rFonts w:cs="Times New Roman PS"/>
        </w:rPr>
        <w:t xml:space="preserve"> at 1521.</w:t>
      </w:r>
      <w:r>
        <w:rPr>
          <w:rFonts w:cs="Times New Roman PS"/>
        </w:rPr>
        <w:t xml:space="preserve"> </w:t>
      </w:r>
      <w:r w:rsidRPr="00E847CF">
        <w:rPr>
          <w:rFonts w:cs="Times New Roman PS"/>
        </w:rPr>
        <w:t xml:space="preserve">The companies whose shares are held by institutional investors are referred to as </w:t>
      </w:r>
      <w:r>
        <w:rPr>
          <w:rFonts w:cs="Times New Roman PS"/>
        </w:rPr>
        <w:t>“</w:t>
      </w:r>
      <w:r w:rsidRPr="00E847CF">
        <w:rPr>
          <w:rFonts w:cs="Times New Roman PS"/>
        </w:rPr>
        <w:t>portfolio</w:t>
      </w:r>
      <w:r>
        <w:rPr>
          <w:rFonts w:cs="Times New Roman PS"/>
        </w:rPr>
        <w:t>”</w:t>
      </w:r>
      <w:r w:rsidRPr="00E847CF">
        <w:rPr>
          <w:rFonts w:cs="Times New Roman PS"/>
        </w:rPr>
        <w:t xml:space="preserve"> companies.</w:t>
      </w:r>
    </w:p>
  </w:footnote>
  <w:footnote w:id="21">
    <w:p w14:paraId="4027D9BB" w14:textId="19731765"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Id.</w:t>
      </w:r>
      <w:r>
        <w:rPr>
          <w:rFonts w:cs="Times New Roman PS"/>
        </w:rPr>
        <w:t xml:space="preserve"> at 1513 (airlines)</w:t>
      </w:r>
      <w:r w:rsidRPr="00E847CF">
        <w:rPr>
          <w:rFonts w:cs="Times New Roman PS"/>
        </w:rPr>
        <w:t>; Azar</w:t>
      </w:r>
      <w:r>
        <w:rPr>
          <w:rFonts w:cs="Times New Roman PS"/>
        </w:rPr>
        <w:t>, Raina &amp; Schmalz</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Pr>
          <w:rFonts w:cs="Times New Roman PS"/>
        </w:rPr>
        <w:t>, at 5</w:t>
      </w:r>
      <w:r w:rsidRPr="00E847CF">
        <w:rPr>
          <w:rFonts w:cs="Times New Roman PS"/>
        </w:rPr>
        <w:t xml:space="preserve"> (banking)</w:t>
      </w:r>
      <w:r>
        <w:rPr>
          <w:rFonts w:cs="Times New Roman PS"/>
        </w:rPr>
        <w:t>.</w:t>
      </w:r>
    </w:p>
  </w:footnote>
  <w:footnote w:id="22">
    <w:p w14:paraId="53D89F7E" w14:textId="34B054B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Azar</w:t>
      </w:r>
      <w:r>
        <w:rPr>
          <w:rFonts w:cs="Times New Roman PS"/>
        </w:rPr>
        <w:t>, Schmalz &amp; Tecu</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sidRPr="00E847CF">
        <w:rPr>
          <w:rFonts w:cs="Times New Roman PS"/>
        </w:rPr>
        <w:t>, at 1526.</w:t>
      </w:r>
    </w:p>
  </w:footnote>
  <w:footnote w:id="23">
    <w:p w14:paraId="386B8655" w14:textId="644321D7"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sidRPr="00E847CF">
        <w:rPr>
          <w:rFonts w:cs="Times New Roman PS"/>
        </w:rPr>
        <w:t xml:space="preserve"> at 1559</w:t>
      </w:r>
      <w:r>
        <w:rPr>
          <w:rFonts w:cs="Times New Roman PS"/>
        </w:rPr>
        <w:t xml:space="preserve"> (“[W]e find that airline ticket prices are 3% to 7% higher due to common ownership . . . .”).</w:t>
      </w:r>
    </w:p>
  </w:footnote>
  <w:footnote w:id="24">
    <w:p w14:paraId="100D3164" w14:textId="5A33648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Azar</w:t>
      </w:r>
      <w:r>
        <w:rPr>
          <w:rFonts w:cs="Times New Roman PS"/>
        </w:rPr>
        <w:t>, Raina &amp; Schmalz</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sidRPr="00E847CF">
        <w:rPr>
          <w:rFonts w:cs="Times New Roman PS"/>
        </w:rPr>
        <w:t>, at 3.</w:t>
      </w:r>
      <w:r>
        <w:rPr>
          <w:rFonts w:cs="Times New Roman PS"/>
        </w:rPr>
        <w:t xml:space="preserve"> </w:t>
      </w:r>
      <w:r w:rsidRPr="00E847CF">
        <w:rPr>
          <w:rFonts w:cs="Times New Roman PS"/>
        </w:rPr>
        <w:t>While common ownership refers to an investor holding shares in competing companies, cross-ownership refers to one company in an industry holding shares in a competitor.</w:t>
      </w:r>
      <w:r>
        <w:rPr>
          <w:rFonts w:cs="Times New Roman PS"/>
        </w:rPr>
        <w:t xml:space="preserve"> </w:t>
      </w:r>
      <w:r>
        <w:rPr>
          <w:rFonts w:cs="Times New Roman PS"/>
          <w:i/>
        </w:rPr>
        <w:t>See id.</w:t>
      </w:r>
      <w:r w:rsidRPr="002672CC">
        <w:rPr>
          <w:rFonts w:cs="Times New Roman PS"/>
          <w:i/>
        </w:rPr>
        <w:t xml:space="preserve"> </w:t>
      </w:r>
      <w:r w:rsidRPr="00E847CF">
        <w:rPr>
          <w:rFonts w:cs="Times New Roman PS"/>
        </w:rPr>
        <w:t>at 2.</w:t>
      </w:r>
    </w:p>
  </w:footnote>
  <w:footnote w:id="25">
    <w:p w14:paraId="652C79E1" w14:textId="1F2C9D81"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Daniel P. O</w:t>
      </w:r>
      <w:r>
        <w:rPr>
          <w:rFonts w:cs="Times New Roman PS"/>
        </w:rPr>
        <w:t>’</w:t>
      </w:r>
      <w:r w:rsidRPr="00E847CF">
        <w:rPr>
          <w:rFonts w:cs="Times New Roman PS"/>
        </w:rPr>
        <w:t xml:space="preserve">Brien &amp; Keith Waehrer, </w:t>
      </w:r>
      <w:r w:rsidRPr="002672CC">
        <w:rPr>
          <w:rFonts w:cs="Times New Roman PS"/>
          <w:i/>
        </w:rPr>
        <w:t xml:space="preserve">The Competitive Effects of Common Ownership: We Know Less </w:t>
      </w:r>
      <w:r>
        <w:rPr>
          <w:rFonts w:cs="Times New Roman PS"/>
          <w:i/>
        </w:rPr>
        <w:t>t</w:t>
      </w:r>
      <w:r w:rsidRPr="002672CC">
        <w:rPr>
          <w:rFonts w:cs="Times New Roman PS"/>
          <w:i/>
        </w:rPr>
        <w:t>han We Think</w:t>
      </w:r>
      <w:r>
        <w:t xml:space="preserve">, 81 </w:t>
      </w:r>
      <w:r>
        <w:rPr>
          <w:smallCaps/>
        </w:rPr>
        <w:t xml:space="preserve">Antitrust L.J. 729, 732 </w:t>
      </w:r>
      <w:r>
        <w:t>(2017)</w:t>
      </w:r>
      <w:r w:rsidRPr="00E847CF">
        <w:rPr>
          <w:rFonts w:cs="Times New Roman PS"/>
        </w:rPr>
        <w:t>.</w:t>
      </w:r>
    </w:p>
  </w:footnote>
  <w:footnote w:id="26">
    <w:p w14:paraId="764CA18C" w14:textId="6C73EA58"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Id.</w:t>
      </w:r>
      <w:r w:rsidRPr="00E847CF">
        <w:rPr>
          <w:rFonts w:cs="Times New Roman PS"/>
        </w:rPr>
        <w:t xml:space="preserve"> at </w:t>
      </w:r>
      <w:r>
        <w:rPr>
          <w:rFonts w:cs="Times New Roman PS"/>
        </w:rPr>
        <w:t xml:space="preserve">744; </w:t>
      </w:r>
      <w:r>
        <w:rPr>
          <w:rFonts w:cs="Times New Roman PS"/>
          <w:i/>
        </w:rPr>
        <w:t>s</w:t>
      </w:r>
      <w:r w:rsidRPr="00E847CF">
        <w:rPr>
          <w:rFonts w:cs="Times New Roman PS"/>
          <w:i/>
        </w:rPr>
        <w:t>ee also</w:t>
      </w:r>
      <w:r w:rsidRPr="00E847CF">
        <w:rPr>
          <w:rFonts w:cs="Times New Roman PS"/>
        </w:rPr>
        <w:t xml:space="preserve"> Erik P. Gilje</w:t>
      </w:r>
      <w:r>
        <w:rPr>
          <w:rFonts w:cs="Times New Roman PS"/>
        </w:rPr>
        <w:t>, Todd A. Gormley &amp; Doron Levit</w:t>
      </w:r>
      <w:r w:rsidRPr="00E847CF">
        <w:rPr>
          <w:rFonts w:cs="Times New Roman PS"/>
        </w:rPr>
        <w:t xml:space="preserve">, </w:t>
      </w:r>
      <w:r w:rsidRPr="00E847CF">
        <w:rPr>
          <w:rFonts w:cs="Times New Roman PS"/>
          <w:i/>
        </w:rPr>
        <w:t>Who</w:t>
      </w:r>
      <w:r>
        <w:rPr>
          <w:rFonts w:cs="Times New Roman PS"/>
          <w:i/>
        </w:rPr>
        <w:t>’</w:t>
      </w:r>
      <w:r w:rsidRPr="00E847CF">
        <w:rPr>
          <w:rFonts w:cs="Times New Roman PS"/>
          <w:i/>
        </w:rPr>
        <w:t>s Paying Attention? Measuring Common Ownership and Its Impact on Managerial Incentives</w:t>
      </w:r>
      <w:r>
        <w:rPr>
          <w:rFonts w:cs="Times New Roman PS"/>
        </w:rPr>
        <w:t>,</w:t>
      </w:r>
      <w:r w:rsidRPr="00E847CF">
        <w:rPr>
          <w:rFonts w:cs="Times New Roman PS"/>
        </w:rPr>
        <w:t xml:space="preserve"> </w:t>
      </w:r>
      <w:r>
        <w:rPr>
          <w:rFonts w:cs="Times New Roman PS"/>
          <w:smallCaps/>
        </w:rPr>
        <w:t xml:space="preserve">J. Fin. Econ. </w:t>
      </w:r>
      <w:r>
        <w:rPr>
          <w:rFonts w:cs="Times New Roman PS"/>
        </w:rPr>
        <w:t xml:space="preserve">(forthcoming 2020) (manuscript at 3), </w:t>
      </w:r>
      <w:r w:rsidRPr="00474C40">
        <w:rPr>
          <w:rFonts w:cs="Times New Roman PS"/>
        </w:rPr>
        <w:t>https://papers.ssrn.com/sol3</w:t>
      </w:r>
      <w:r>
        <w:rPr>
          <w:rFonts w:cs="Times New Roman PS"/>
        </w:rPr>
        <w:br/>
      </w:r>
      <w:r w:rsidRPr="00474C40">
        <w:rPr>
          <w:rFonts w:cs="Times New Roman PS"/>
        </w:rPr>
        <w:t>/papers.cfm?abstract_id=3165574</w:t>
      </w:r>
      <w:r>
        <w:rPr>
          <w:rFonts w:cs="Times New Roman PS"/>
        </w:rPr>
        <w:t xml:space="preserve"> [</w:t>
      </w:r>
      <w:r w:rsidRPr="006716D5">
        <w:rPr>
          <w:rFonts w:cs="Times New Roman PS"/>
        </w:rPr>
        <w:t>https://perma.cc/3H5M-4AH7</w:t>
      </w:r>
      <w:r>
        <w:rPr>
          <w:rFonts w:cs="Times New Roman PS"/>
        </w:rPr>
        <w:t xml:space="preserve">] (arguing that </w:t>
      </w:r>
      <w:r w:rsidRPr="00E847CF">
        <w:rPr>
          <w:rFonts w:cs="Times New Roman PS"/>
        </w:rPr>
        <w:t>MHHI measure unrealistically assumes that all investors are fully attentive)</w:t>
      </w:r>
      <w:r>
        <w:rPr>
          <w:rFonts w:cs="Times New Roman PS"/>
        </w:rPr>
        <w:t xml:space="preserve">; </w:t>
      </w:r>
      <w:r w:rsidRPr="00E847CF">
        <w:rPr>
          <w:rFonts w:cs="Times New Roman PS"/>
        </w:rPr>
        <w:t xml:space="preserve">Jacob Gramlich &amp; Serafin Grundl, </w:t>
      </w:r>
      <w:r w:rsidRPr="00E847CF">
        <w:rPr>
          <w:rFonts w:cs="Times New Roman PS"/>
          <w:i/>
        </w:rPr>
        <w:t>Testing for Competitive Effects of Common Ownership</w:t>
      </w:r>
      <w:r w:rsidRPr="00E847CF">
        <w:rPr>
          <w:rFonts w:cs="Times New Roman PS"/>
        </w:rPr>
        <w:t xml:space="preserve"> 2 (</w:t>
      </w:r>
      <w:r>
        <w:rPr>
          <w:rFonts w:cs="Times New Roman PS"/>
        </w:rPr>
        <w:t xml:space="preserve">Fed. Reserve Bd. Fin. &amp; Econ. Discussion Series, Working Paper No. 2017-029, 2017), </w:t>
      </w:r>
      <w:r w:rsidRPr="00474C40">
        <w:rPr>
          <w:rFonts w:cs="Times New Roman PS"/>
        </w:rPr>
        <w:t>https://www.federal</w:t>
      </w:r>
      <w:r>
        <w:rPr>
          <w:rFonts w:cs="Times New Roman PS"/>
        </w:rPr>
        <w:br/>
      </w:r>
      <w:r w:rsidRPr="00474C40">
        <w:rPr>
          <w:rFonts w:cs="Times New Roman PS"/>
        </w:rPr>
        <w:t>reserve.gov/econres/feds/files/2017029pap.pdf</w:t>
      </w:r>
      <w:r w:rsidRPr="00474C40">
        <w:t xml:space="preserve"> </w:t>
      </w:r>
      <w:r>
        <w:t>[</w:t>
      </w:r>
      <w:r w:rsidRPr="00474C40">
        <w:rPr>
          <w:rFonts w:cs="Times New Roman PS"/>
        </w:rPr>
        <w:t>https://perma.cc/S5AZ-3EC5</w:t>
      </w:r>
      <w:r>
        <w:rPr>
          <w:rFonts w:cs="Times New Roman PS"/>
        </w:rPr>
        <w:t>]</w:t>
      </w:r>
      <w:r w:rsidRPr="00E847CF">
        <w:rPr>
          <w:rFonts w:cs="Times New Roman PS"/>
        </w:rPr>
        <w:t xml:space="preserve"> (criticizing use of MHHI and proposing alternative).</w:t>
      </w:r>
      <w:r>
        <w:rPr>
          <w:rFonts w:cs="Times New Roman PS"/>
        </w:rPr>
        <w:t xml:space="preserve"> The </w:t>
      </w:r>
      <w:r w:rsidRPr="00E847CF">
        <w:rPr>
          <w:rFonts w:cs="Times New Roman PS"/>
        </w:rPr>
        <w:t>MHHI is a generalization of the HHI, which has long been used in antitrust analysis as a measure of industry concentration.</w:t>
      </w:r>
      <w:r>
        <w:rPr>
          <w:rFonts w:cs="Times New Roman PS"/>
        </w:rPr>
        <w:t xml:space="preserve"> </w:t>
      </w:r>
      <w:r w:rsidRPr="00E847CF">
        <w:rPr>
          <w:rFonts w:cs="Times New Roman PS"/>
        </w:rPr>
        <w:t xml:space="preserve">Modifications introduced by </w:t>
      </w:r>
      <w:r>
        <w:rPr>
          <w:rFonts w:cs="Times New Roman PS"/>
        </w:rPr>
        <w:t xml:space="preserve">Timothy </w:t>
      </w:r>
      <w:r w:rsidRPr="00E847CF">
        <w:rPr>
          <w:rFonts w:cs="Times New Roman PS"/>
        </w:rPr>
        <w:t xml:space="preserve">Bresnahan and </w:t>
      </w:r>
      <w:r>
        <w:rPr>
          <w:rFonts w:cs="Times New Roman PS"/>
        </w:rPr>
        <w:t xml:space="preserve">Steven </w:t>
      </w:r>
      <w:r w:rsidRPr="00E847CF">
        <w:rPr>
          <w:rFonts w:cs="Times New Roman PS"/>
        </w:rPr>
        <w:t>Salop and</w:t>
      </w:r>
      <w:r>
        <w:rPr>
          <w:rFonts w:cs="Times New Roman PS"/>
        </w:rPr>
        <w:t xml:space="preserve"> by</w:t>
      </w:r>
      <w:r w:rsidRPr="00E847CF">
        <w:rPr>
          <w:rFonts w:cs="Times New Roman PS"/>
        </w:rPr>
        <w:t xml:space="preserve"> </w:t>
      </w:r>
      <w:r>
        <w:rPr>
          <w:rFonts w:cs="Times New Roman PS"/>
        </w:rPr>
        <w:t xml:space="preserve">Daniel </w:t>
      </w:r>
      <w:r w:rsidRPr="00E847CF">
        <w:rPr>
          <w:rFonts w:cs="Times New Roman PS"/>
        </w:rPr>
        <w:t>O</w:t>
      </w:r>
      <w:r>
        <w:rPr>
          <w:rFonts w:cs="Times New Roman PS"/>
        </w:rPr>
        <w:t>’</w:t>
      </w:r>
      <w:r w:rsidRPr="00E847CF">
        <w:rPr>
          <w:rFonts w:cs="Times New Roman PS"/>
        </w:rPr>
        <w:t>Brien and Salop take into account partial ownership and common ownership.</w:t>
      </w:r>
      <w:r>
        <w:rPr>
          <w:rFonts w:cs="Times New Roman PS"/>
        </w:rPr>
        <w:t xml:space="preserve"> </w:t>
      </w:r>
      <w:r w:rsidRPr="00E847CF">
        <w:rPr>
          <w:rFonts w:cs="Times New Roman PS"/>
          <w:i/>
        </w:rPr>
        <w:t>See</w:t>
      </w:r>
      <w:r w:rsidRPr="00E847CF">
        <w:rPr>
          <w:rFonts w:cs="Times New Roman PS"/>
        </w:rPr>
        <w:t xml:space="preserve"> Timothy F. Bresnahan &amp; Steven C. Salop, </w:t>
      </w:r>
      <w:r w:rsidRPr="00E847CF">
        <w:rPr>
          <w:rFonts w:cs="Times New Roman PS"/>
          <w:i/>
        </w:rPr>
        <w:t>Quantifying the Competitive Effects of Production Joint Ventures</w:t>
      </w:r>
      <w:r w:rsidRPr="00E847CF">
        <w:rPr>
          <w:rFonts w:cs="Times New Roman PS"/>
        </w:rPr>
        <w:t xml:space="preserve">, 4 </w:t>
      </w:r>
      <w:r>
        <w:rPr>
          <w:rFonts w:cs="Times New Roman PS"/>
          <w:smallCaps/>
        </w:rPr>
        <w:t>Int’l</w:t>
      </w:r>
      <w:r w:rsidRPr="00E847CF">
        <w:rPr>
          <w:rFonts w:cs="Times New Roman PS"/>
        </w:rPr>
        <w:t xml:space="preserve"> J. </w:t>
      </w:r>
      <w:r w:rsidRPr="00E847CF">
        <w:rPr>
          <w:rFonts w:cs="Times New Roman PS"/>
          <w:smallCaps/>
        </w:rPr>
        <w:t>Indus. Org</w:t>
      </w:r>
      <w:r w:rsidRPr="00E847CF">
        <w:rPr>
          <w:rFonts w:cs="Times New Roman PS"/>
        </w:rPr>
        <w:t>. 155</w:t>
      </w:r>
      <w:r>
        <w:rPr>
          <w:rFonts w:cs="Times New Roman PS"/>
        </w:rPr>
        <w:t xml:space="preserve">, </w:t>
      </w:r>
      <w:r w:rsidRPr="00E847CF">
        <w:rPr>
          <w:rFonts w:cs="Times New Roman PS"/>
        </w:rPr>
        <w:t>155 (1986)</w:t>
      </w:r>
      <w:r>
        <w:rPr>
          <w:rFonts w:cs="Times New Roman PS"/>
        </w:rPr>
        <w:t xml:space="preserve"> (“We focus on the impact of the financial interest and management control strucutre of the venture.”)</w:t>
      </w:r>
      <w:r w:rsidRPr="00E847CF">
        <w:rPr>
          <w:rFonts w:cs="Times New Roman PS"/>
        </w:rPr>
        <w:t>; Daniel P. O</w:t>
      </w:r>
      <w:r>
        <w:rPr>
          <w:rFonts w:cs="Times New Roman PS"/>
        </w:rPr>
        <w:t>’</w:t>
      </w:r>
      <w:r w:rsidRPr="00E847CF">
        <w:rPr>
          <w:rFonts w:cs="Times New Roman PS"/>
        </w:rPr>
        <w:t xml:space="preserve">Brien &amp; Steven C. Salop, </w:t>
      </w:r>
      <w:r w:rsidRPr="00E847CF">
        <w:rPr>
          <w:rFonts w:cs="Times New Roman PS"/>
          <w:i/>
        </w:rPr>
        <w:t>Competitive Effects of Partial Ownership: Financial Interest and Corporate Control</w:t>
      </w:r>
      <w:r w:rsidRPr="00E847CF">
        <w:rPr>
          <w:rFonts w:cs="Times New Roman PS"/>
        </w:rPr>
        <w:t xml:space="preserve">, 67 </w:t>
      </w:r>
      <w:r w:rsidRPr="00E847CF">
        <w:rPr>
          <w:rFonts w:cs="Times New Roman PS"/>
          <w:smallCaps/>
        </w:rPr>
        <w:t>Antitrust</w:t>
      </w:r>
      <w:r w:rsidRPr="00E847CF">
        <w:rPr>
          <w:rFonts w:cs="Times New Roman PS"/>
        </w:rPr>
        <w:t xml:space="preserve"> L.J. 559</w:t>
      </w:r>
      <w:r>
        <w:rPr>
          <w:rFonts w:cs="Times New Roman PS"/>
        </w:rPr>
        <w:t>, 561-62 (2</w:t>
      </w:r>
      <w:r w:rsidRPr="00BB7969">
        <w:rPr>
          <w:rFonts w:cs="Times New Roman PS"/>
        </w:rPr>
        <w:t xml:space="preserve">000); </w:t>
      </w:r>
      <w:r w:rsidRPr="00E847CF">
        <w:rPr>
          <w:rFonts w:cs="Times New Roman PS"/>
          <w:i/>
        </w:rPr>
        <w:t>see also</w:t>
      </w:r>
      <w:r w:rsidRPr="00E847CF">
        <w:rPr>
          <w:rFonts w:cs="Times New Roman PS"/>
        </w:rPr>
        <w:t xml:space="preserve"> Menesh S. Patel, </w:t>
      </w:r>
      <w:r w:rsidRPr="00E847CF">
        <w:rPr>
          <w:rFonts w:cs="Times New Roman PS"/>
          <w:i/>
        </w:rPr>
        <w:t>Common Ownership, Institutional Investors, and Antitrust</w:t>
      </w:r>
      <w:r w:rsidRPr="00E847CF">
        <w:rPr>
          <w:rFonts w:cs="Times New Roman PS"/>
        </w:rPr>
        <w:t xml:space="preserve">, 82 </w:t>
      </w:r>
      <w:r w:rsidRPr="00E847CF">
        <w:rPr>
          <w:rFonts w:cs="Times New Roman PS"/>
          <w:smallCaps/>
        </w:rPr>
        <w:t>Antitrust L.J.</w:t>
      </w:r>
      <w:r w:rsidRPr="00E847CF">
        <w:rPr>
          <w:rFonts w:cs="Times New Roman PS"/>
        </w:rPr>
        <w:t xml:space="preserve"> 279, 325-28 (2018) (arguing that whether common ownership will actually generate competitive harm in </w:t>
      </w:r>
      <w:r>
        <w:rPr>
          <w:rFonts w:cs="Times New Roman PS"/>
        </w:rPr>
        <w:t xml:space="preserve">a </w:t>
      </w:r>
      <w:r w:rsidRPr="00E847CF">
        <w:rPr>
          <w:rFonts w:cs="Times New Roman PS"/>
        </w:rPr>
        <w:t>particular industr</w:t>
      </w:r>
      <w:r>
        <w:rPr>
          <w:rFonts w:cs="Times New Roman PS"/>
        </w:rPr>
        <w:t>y</w:t>
      </w:r>
      <w:r w:rsidRPr="00E847CF">
        <w:rPr>
          <w:rFonts w:cs="Times New Roman PS"/>
        </w:rPr>
        <w:t xml:space="preserve"> depends on </w:t>
      </w:r>
      <w:r>
        <w:rPr>
          <w:rFonts w:cs="Times New Roman PS"/>
        </w:rPr>
        <w:t xml:space="preserve">a </w:t>
      </w:r>
      <w:r w:rsidRPr="00E847CF">
        <w:rPr>
          <w:rFonts w:cs="Times New Roman PS"/>
        </w:rPr>
        <w:t>number of factors and requires case-by-case analysis).</w:t>
      </w:r>
    </w:p>
  </w:footnote>
  <w:footnote w:id="27">
    <w:p w14:paraId="74DE7EE1" w14:textId="530E6C0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Edward B. Rock &amp; Daniel L. Rubinfeld, </w:t>
      </w:r>
      <w:r w:rsidRPr="00E847CF">
        <w:rPr>
          <w:rFonts w:cs="Times New Roman PS"/>
          <w:i/>
        </w:rPr>
        <w:t>Antitrust for Institutional Investors</w:t>
      </w:r>
      <w:r w:rsidRPr="00E847CF">
        <w:rPr>
          <w:rFonts w:cs="Times New Roman PS"/>
        </w:rPr>
        <w:t xml:space="preserve">, 82 </w:t>
      </w:r>
      <w:r w:rsidRPr="00E847CF">
        <w:rPr>
          <w:rFonts w:cs="Times New Roman PS"/>
          <w:smallCaps/>
        </w:rPr>
        <w:t>Antitrust L.J.</w:t>
      </w:r>
      <w:r w:rsidRPr="00E847CF">
        <w:rPr>
          <w:rFonts w:cs="Times New Roman PS"/>
        </w:rPr>
        <w:t xml:space="preserve"> 221, 230-39 (2018).</w:t>
      </w:r>
    </w:p>
  </w:footnote>
  <w:footnote w:id="28">
    <w:p w14:paraId="16B663DE" w14:textId="34DD85E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Einer </w:t>
      </w:r>
      <w:r>
        <w:rPr>
          <w:rFonts w:cs="Times New Roman PS"/>
        </w:rPr>
        <w:t xml:space="preserve">R. </w:t>
      </w:r>
      <w:r w:rsidRPr="00E847CF">
        <w:rPr>
          <w:rFonts w:cs="Times New Roman PS"/>
        </w:rPr>
        <w:t xml:space="preserve">Elhauge, </w:t>
      </w:r>
      <w:r w:rsidRPr="006D20A9">
        <w:t>New Evidence, Proofs, and Legal Theories on Horizontal Shareholding</w:t>
      </w:r>
      <w:r w:rsidRPr="00E847CF">
        <w:rPr>
          <w:rFonts w:cs="Times New Roman PS"/>
        </w:rPr>
        <w:t xml:space="preserve"> 40 (Jan.</w:t>
      </w:r>
      <w:r>
        <w:rPr>
          <w:rFonts w:cs="Times New Roman PS"/>
        </w:rPr>
        <w:t xml:space="preserve"> </w:t>
      </w:r>
      <w:r w:rsidRPr="00917332">
        <w:rPr>
          <w:rFonts w:cs="Times New Roman PS"/>
          <w:szCs w:val="18"/>
        </w:rPr>
        <w:t>4,</w:t>
      </w:r>
      <w:r>
        <w:rPr>
          <w:rFonts w:cs="Times New Roman PS"/>
          <w:szCs w:val="18"/>
        </w:rPr>
        <w:t xml:space="preserve"> </w:t>
      </w:r>
      <w:r w:rsidRPr="00E847CF">
        <w:rPr>
          <w:rFonts w:cs="Times New Roman PS"/>
        </w:rPr>
        <w:t>2018)</w:t>
      </w:r>
      <w:r>
        <w:rPr>
          <w:rFonts w:cs="Times New Roman PS"/>
        </w:rPr>
        <w:t xml:space="preserve"> </w:t>
      </w:r>
      <w:r w:rsidRPr="00917332">
        <w:rPr>
          <w:rFonts w:cs="Times New Roman PS"/>
          <w:szCs w:val="18"/>
        </w:rPr>
        <w:t>(</w:t>
      </w:r>
      <w:r>
        <w:rPr>
          <w:rFonts w:cs="Times New Roman PS"/>
          <w:szCs w:val="18"/>
        </w:rPr>
        <w:t>unpublished manuscript</w:t>
      </w:r>
      <w:r w:rsidRPr="00917332">
        <w:rPr>
          <w:rFonts w:cs="Times New Roman PS"/>
          <w:szCs w:val="18"/>
        </w:rPr>
        <w:t>)</w:t>
      </w:r>
      <w:r>
        <w:rPr>
          <w:rFonts w:cs="Times New Roman PS"/>
          <w:szCs w:val="18"/>
        </w:rPr>
        <w:t>,</w:t>
      </w:r>
      <w:r w:rsidRPr="00917332">
        <w:rPr>
          <w:rFonts w:cs="Times New Roman PS"/>
          <w:szCs w:val="18"/>
        </w:rPr>
        <w:t xml:space="preserve"> </w:t>
      </w:r>
      <w:r w:rsidRPr="003E3742">
        <w:rPr>
          <w:rStyle w:val="Hyperlink"/>
          <w:rFonts w:ascii="Times New Roman" w:hAnsi="Times New Roman"/>
          <w:color w:val="auto"/>
          <w:szCs w:val="18"/>
          <w:u w:val="none"/>
        </w:rPr>
        <w:t>https://ssrn.com/abstract=3096812</w:t>
      </w:r>
      <w:r>
        <w:rPr>
          <w:rFonts w:ascii="Times New Roman" w:hAnsi="Times New Roman"/>
          <w:color w:val="383838"/>
          <w:szCs w:val="18"/>
        </w:rPr>
        <w:t xml:space="preserve"> [</w:t>
      </w:r>
      <w:r w:rsidRPr="006C7FA2">
        <w:rPr>
          <w:rFonts w:ascii="Times New Roman" w:hAnsi="Times New Roman"/>
          <w:color w:val="383838"/>
          <w:szCs w:val="18"/>
        </w:rPr>
        <w:t>https://perma.cc/T87Y-7S6P</w:t>
      </w:r>
      <w:r>
        <w:rPr>
          <w:rFonts w:ascii="Times New Roman" w:hAnsi="Times New Roman"/>
          <w:color w:val="383838"/>
          <w:szCs w:val="18"/>
        </w:rPr>
        <w:t>]</w:t>
      </w:r>
      <w:r w:rsidRPr="00F21D8B">
        <w:rPr>
          <w:rFonts w:ascii="Times New Roman" w:hAnsi="Times New Roman"/>
          <w:color w:val="383838"/>
          <w:szCs w:val="18"/>
        </w:rPr>
        <w:t xml:space="preserve"> </w:t>
      </w:r>
      <w:r w:rsidRPr="003E3742">
        <w:rPr>
          <w:rFonts w:ascii="Times New Roman" w:hAnsi="Times New Roman"/>
          <w:szCs w:val="18"/>
        </w:rPr>
        <w:t xml:space="preserve">(suggesting </w:t>
      </w:r>
      <w:r>
        <w:rPr>
          <w:rFonts w:ascii="Times New Roman" w:hAnsi="Times New Roman"/>
          <w:szCs w:val="18"/>
        </w:rPr>
        <w:t>that</w:t>
      </w:r>
      <w:r w:rsidRPr="003E3742">
        <w:rPr>
          <w:rFonts w:ascii="Times New Roman" w:hAnsi="Times New Roman"/>
          <w:szCs w:val="18"/>
        </w:rPr>
        <w:t xml:space="preserve"> U.S.</w:t>
      </w:r>
      <w:r>
        <w:rPr>
          <w:rFonts w:ascii="Times New Roman" w:hAnsi="Times New Roman"/>
          <w:szCs w:val="18"/>
        </w:rPr>
        <w:t>’s</w:t>
      </w:r>
      <w:r w:rsidRPr="003E3742">
        <w:rPr>
          <w:rFonts w:ascii="Times New Roman" w:hAnsi="Times New Roman"/>
          <w:szCs w:val="18"/>
        </w:rPr>
        <w:t xml:space="preserve"> Sherman and Clayton Acts and E</w:t>
      </w:r>
      <w:r>
        <w:rPr>
          <w:rFonts w:ascii="Times New Roman" w:hAnsi="Times New Roman"/>
          <w:szCs w:val="18"/>
        </w:rPr>
        <w:t>.</w:t>
      </w:r>
      <w:r w:rsidRPr="003E3742">
        <w:rPr>
          <w:rFonts w:ascii="Times New Roman" w:hAnsi="Times New Roman"/>
          <w:szCs w:val="18"/>
        </w:rPr>
        <w:t>U</w:t>
      </w:r>
      <w:r>
        <w:rPr>
          <w:rFonts w:ascii="Times New Roman" w:hAnsi="Times New Roman"/>
          <w:szCs w:val="18"/>
        </w:rPr>
        <w:t>.’</w:t>
      </w:r>
      <w:r w:rsidRPr="003E3742">
        <w:rPr>
          <w:rFonts w:ascii="Times New Roman" w:hAnsi="Times New Roman"/>
          <w:szCs w:val="18"/>
        </w:rPr>
        <w:t xml:space="preserve">s TFEU Article 101 can help regulate anticompetitive horizontal shareholding); </w:t>
      </w:r>
      <w:r w:rsidRPr="00BB7969">
        <w:rPr>
          <w:rFonts w:cs="Times New Roman PS"/>
          <w:i/>
        </w:rPr>
        <w:t>s</w:t>
      </w:r>
      <w:r w:rsidRPr="00E847CF">
        <w:rPr>
          <w:rFonts w:cs="Times New Roman PS"/>
          <w:i/>
        </w:rPr>
        <w:t>ee also</w:t>
      </w:r>
      <w:r w:rsidRPr="00E847CF">
        <w:rPr>
          <w:rFonts w:cs="Times New Roman PS"/>
        </w:rPr>
        <w:t xml:space="preserve"> Fiona Scott Morton &amp; Herbert Hovenkamp, </w:t>
      </w:r>
      <w:r w:rsidRPr="00E847CF">
        <w:rPr>
          <w:rFonts w:cs="Times New Roman PS"/>
          <w:i/>
        </w:rPr>
        <w:t>Horizontal Shareholding and Antitrust Policy</w:t>
      </w:r>
      <w:r w:rsidRPr="002672CC">
        <w:rPr>
          <w:rFonts w:cs="Times New Roman PS"/>
        </w:rPr>
        <w:t>,</w:t>
      </w:r>
      <w:r w:rsidRPr="00E847CF">
        <w:rPr>
          <w:rFonts w:cs="Times New Roman PS"/>
        </w:rPr>
        <w:t xml:space="preserve"> 127 </w:t>
      </w:r>
      <w:r w:rsidRPr="002672CC">
        <w:rPr>
          <w:rFonts w:cs="Times New Roman PS"/>
          <w:smallCaps/>
        </w:rPr>
        <w:t>Yale</w:t>
      </w:r>
      <w:r w:rsidRPr="00163C49">
        <w:rPr>
          <w:smallCaps/>
        </w:rPr>
        <w:t xml:space="preserve"> </w:t>
      </w:r>
      <w:r w:rsidRPr="002672CC">
        <w:rPr>
          <w:rFonts w:cs="Times New Roman PS"/>
          <w:smallCaps/>
        </w:rPr>
        <w:t>L.J.</w:t>
      </w:r>
      <w:r w:rsidRPr="00E847CF">
        <w:rPr>
          <w:rFonts w:cs="Times New Roman PS"/>
        </w:rPr>
        <w:t xml:space="preserve"> 2026, 2047</w:t>
      </w:r>
      <w:r w:rsidRPr="00BB7969">
        <w:rPr>
          <w:rFonts w:cs="Times New Roman PS"/>
        </w:rPr>
        <w:t xml:space="preserve"> (2018)</w:t>
      </w:r>
      <w:r w:rsidRPr="00E847CF">
        <w:rPr>
          <w:rFonts w:cs="Times New Roman PS"/>
        </w:rPr>
        <w:t xml:space="preserve"> (concluding</w:t>
      </w:r>
      <w:r>
        <w:rPr>
          <w:rFonts w:cs="Times New Roman PS"/>
        </w:rPr>
        <w:t xml:space="preserve"> that</w:t>
      </w:r>
      <w:r w:rsidRPr="00E847CF">
        <w:rPr>
          <w:rFonts w:cs="Times New Roman PS"/>
        </w:rPr>
        <w:t xml:space="preserve"> </w:t>
      </w:r>
      <w:r>
        <w:rPr>
          <w:rFonts w:cs="Times New Roman PS"/>
        </w:rPr>
        <w:t>“</w:t>
      </w:r>
      <w:r w:rsidRPr="00E847CF">
        <w:rPr>
          <w:rFonts w:cs="Times New Roman PS"/>
        </w:rPr>
        <w:t>Section 7 of the Clayton Act presents a promising vehicle for combatting the anticompetitive effects of horizontal shareholding</w:t>
      </w:r>
      <w:r>
        <w:rPr>
          <w:rFonts w:cs="Times New Roman PS"/>
        </w:rPr>
        <w:t>”</w:t>
      </w:r>
      <w:r w:rsidRPr="00E847CF">
        <w:rPr>
          <w:rFonts w:cs="Times New Roman PS"/>
        </w:rPr>
        <w:t>).</w:t>
      </w:r>
    </w:p>
  </w:footnote>
  <w:footnote w:id="29">
    <w:p w14:paraId="6E22054D" w14:textId="0850D2B4" w:rsidR="00051004" w:rsidRPr="00B24BC3" w:rsidRDefault="00051004" w:rsidP="00B24BC3">
      <w:pPr>
        <w:pStyle w:val="FootNote"/>
      </w:pPr>
      <w:r>
        <w:fldChar w:fldCharType="begin"/>
      </w:r>
      <w:r>
        <w:instrText xml:space="preserve"> ADVANCE \r10 \* MERGEFORMAT </w:instrText>
      </w:r>
      <w:r>
        <w:fldChar w:fldCharType="end"/>
      </w:r>
      <w:r w:rsidRPr="00F155BE">
        <w:rPr>
          <w:rStyle w:val="NoterefInNote"/>
        </w:rPr>
        <w:footnoteRef/>
      </w:r>
      <w:r>
        <w:fldChar w:fldCharType="begin"/>
      </w:r>
      <w:r>
        <w:instrText xml:space="preserve"> ADVANCE \r4 \* MERGEFORMAT </w:instrText>
      </w:r>
      <w:r>
        <w:fldChar w:fldCharType="end"/>
      </w:r>
      <w:r>
        <w:rPr>
          <w:i/>
        </w:rPr>
        <w:t xml:space="preserve">See </w:t>
      </w:r>
      <w:r w:rsidRPr="00B24BC3">
        <w:t>Eric A. Posner</w:t>
      </w:r>
      <w:r w:rsidRPr="00B24BC3">
        <w:rPr>
          <w:rFonts w:cs="Times New Roman PS"/>
          <w:szCs w:val="18"/>
        </w:rPr>
        <w:t>, Fiona</w:t>
      </w:r>
      <w:r>
        <w:rPr>
          <w:rFonts w:cs="Times New Roman PS"/>
          <w:szCs w:val="18"/>
        </w:rPr>
        <w:t xml:space="preserve"> M.</w:t>
      </w:r>
      <w:r w:rsidRPr="00B24BC3">
        <w:rPr>
          <w:rFonts w:cs="Times New Roman PS"/>
          <w:szCs w:val="18"/>
        </w:rPr>
        <w:t xml:space="preserve"> Scott Morton &amp; E. Glen W</w:t>
      </w:r>
      <w:r>
        <w:rPr>
          <w:rFonts w:cs="Times New Roman PS"/>
          <w:szCs w:val="18"/>
        </w:rPr>
        <w:t>e</w:t>
      </w:r>
      <w:r w:rsidRPr="00B24BC3">
        <w:rPr>
          <w:rFonts w:cs="Times New Roman PS"/>
          <w:szCs w:val="18"/>
        </w:rPr>
        <w:t>yl</w:t>
      </w:r>
      <w:r w:rsidRPr="00B24BC3">
        <w:t xml:space="preserve">, </w:t>
      </w:r>
      <w:r w:rsidRPr="002672CC">
        <w:rPr>
          <w:i/>
        </w:rPr>
        <w:t>A Proposal to Limit the Anti</w:t>
      </w:r>
      <w:r>
        <w:rPr>
          <w:i/>
        </w:rPr>
        <w:t>c</w:t>
      </w:r>
      <w:r w:rsidRPr="002672CC">
        <w:rPr>
          <w:i/>
        </w:rPr>
        <w:t>ompetitive Power of Institutional Investors</w:t>
      </w:r>
      <w:r>
        <w:t xml:space="preserve">, 81 </w:t>
      </w:r>
      <w:r w:rsidRPr="002672CC">
        <w:rPr>
          <w:smallCaps/>
        </w:rPr>
        <w:t>Antitrust L.J.</w:t>
      </w:r>
      <w:r w:rsidRPr="00B24BC3">
        <w:rPr>
          <w:i/>
        </w:rPr>
        <w:t xml:space="preserve"> </w:t>
      </w:r>
      <w:r>
        <w:t xml:space="preserve">669, 670 </w:t>
      </w:r>
      <w:r w:rsidRPr="00B24BC3">
        <w:rPr>
          <w:rFonts w:cs="Times New Roman PS"/>
          <w:szCs w:val="18"/>
        </w:rPr>
        <w:t>(2017)</w:t>
      </w:r>
      <w:r w:rsidRPr="00B24BC3">
        <w:rPr>
          <w:rFonts w:cs="Times New Roman PS"/>
        </w:rPr>
        <w:t>.</w:t>
      </w:r>
    </w:p>
  </w:footnote>
  <w:footnote w:id="30">
    <w:p w14:paraId="2A324A05" w14:textId="38B095F3"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C. Scott Hemphill &amp; Marcel Kahan, </w:t>
      </w:r>
      <w:r w:rsidRPr="00E847CF">
        <w:rPr>
          <w:rFonts w:cs="Times New Roman PS"/>
          <w:i/>
        </w:rPr>
        <w:t>The Strategies of Anticompetitive Common Ownership</w:t>
      </w:r>
      <w:r>
        <w:rPr>
          <w:rFonts w:cs="Times New Roman PS"/>
        </w:rPr>
        <w:t xml:space="preserve">, </w:t>
      </w:r>
      <w:r>
        <w:rPr>
          <w:rFonts w:cs="Times New Roman PS"/>
          <w:smallCaps/>
        </w:rPr>
        <w:t xml:space="preserve">Yale L.J. </w:t>
      </w:r>
      <w:r>
        <w:rPr>
          <w:rFonts w:cs="Times New Roman PS"/>
        </w:rPr>
        <w:t>(forthcoming) (manuscript at</w:t>
      </w:r>
      <w:r w:rsidRPr="00E847CF">
        <w:rPr>
          <w:rFonts w:cs="Times New Roman PS"/>
        </w:rPr>
        <w:t xml:space="preserve"> 52-53</w:t>
      </w:r>
      <w:r>
        <w:rPr>
          <w:rFonts w:cs="Times New Roman PS"/>
        </w:rPr>
        <w:t xml:space="preserve">), </w:t>
      </w:r>
      <w:r w:rsidRPr="00312F81">
        <w:rPr>
          <w:rFonts w:cs="Times New Roman PS"/>
        </w:rPr>
        <w:t>https://papers.ssrn.com/sol3</w:t>
      </w:r>
      <w:r>
        <w:rPr>
          <w:rFonts w:cs="Times New Roman PS"/>
        </w:rPr>
        <w:br/>
      </w:r>
      <w:r w:rsidRPr="00312F81">
        <w:rPr>
          <w:rFonts w:cs="Times New Roman PS"/>
        </w:rPr>
        <w:t>/papers.cfm?abstract_id=3210373##</w:t>
      </w:r>
      <w:r>
        <w:rPr>
          <w:rFonts w:cs="Times New Roman PS"/>
        </w:rPr>
        <w:t xml:space="preserve"> [</w:t>
      </w:r>
      <w:r w:rsidRPr="00312F81">
        <w:rPr>
          <w:rFonts w:cs="Times New Roman PS"/>
        </w:rPr>
        <w:t>https://perma.cc/W7UR-LKUT</w:t>
      </w:r>
      <w:r>
        <w:rPr>
          <w:rFonts w:cs="Times New Roman PS"/>
        </w:rPr>
        <w:t>].</w:t>
      </w:r>
    </w:p>
  </w:footnote>
  <w:footnote w:id="31">
    <w:p w14:paraId="664E5CC8" w14:textId="15F7C8D5"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Rock &amp; Rubinfeld, </w:t>
      </w:r>
      <w:r w:rsidRPr="00E847CF">
        <w:rPr>
          <w:rFonts w:cs="Times New Roman PS"/>
          <w:i/>
        </w:rPr>
        <w:t>supra</w:t>
      </w:r>
      <w:r w:rsidRPr="00E847CF">
        <w:rPr>
          <w:rFonts w:cs="Times New Roman PS"/>
        </w:rPr>
        <w:t xml:space="preserve"> note </w:t>
      </w:r>
      <w:r w:rsidRPr="00BB7969">
        <w:rPr>
          <w:rFonts w:cs="Times New Roman PS"/>
        </w:rPr>
        <w:fldChar w:fldCharType="begin"/>
      </w:r>
      <w:r w:rsidRPr="00BB7969">
        <w:rPr>
          <w:rFonts w:cs="Times New Roman PS"/>
        </w:rPr>
        <w:instrText xml:space="preserve"> NOTEREF _Ref19191960 \h </w:instrText>
      </w:r>
      <w:r w:rsidRPr="00BB7969">
        <w:rPr>
          <w:rFonts w:cs="Times New Roman PS"/>
        </w:rPr>
      </w:r>
      <w:r w:rsidRPr="00BB7969">
        <w:rPr>
          <w:rFonts w:cs="Times New Roman PS"/>
        </w:rPr>
        <w:fldChar w:fldCharType="separate"/>
      </w:r>
      <w:r w:rsidR="005C51FD">
        <w:rPr>
          <w:rFonts w:cs="Times New Roman PS"/>
        </w:rPr>
        <w:t>25</w:t>
      </w:r>
      <w:r w:rsidRPr="00BB7969">
        <w:rPr>
          <w:rFonts w:cs="Times New Roman PS"/>
        </w:rPr>
        <w:fldChar w:fldCharType="end"/>
      </w:r>
      <w:r w:rsidRPr="00E847CF">
        <w:rPr>
          <w:rFonts w:cs="Times New Roman PS"/>
        </w:rPr>
        <w:t>, at 270-77</w:t>
      </w:r>
      <w:r w:rsidRPr="00BB7969">
        <w:rPr>
          <w:rFonts w:cs="Times New Roman PS"/>
        </w:rPr>
        <w:t>.</w:t>
      </w:r>
    </w:p>
  </w:footnote>
  <w:footnote w:id="32">
    <w:p w14:paraId="674A62FC" w14:textId="01A34A5F" w:rsidR="00051004" w:rsidRPr="006D20A9" w:rsidRDefault="00051004" w:rsidP="00E847CF">
      <w:pPr>
        <w:pStyle w:val="FootNote"/>
        <w:rPr>
          <w:sz w:val="20"/>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To gain a sense of the importance of these questions and this debate, note that the Azar, Schmalz, and Tecu airline industry paper</w:t>
      </w:r>
      <w:r>
        <w:rPr>
          <w:rFonts w:cs="Times New Roman PS"/>
        </w:rPr>
        <w:t xml:space="preserve">—which was only recently published in the </w:t>
      </w:r>
      <w:r>
        <w:rPr>
          <w:rFonts w:cs="Times New Roman PS"/>
          <w:i/>
        </w:rPr>
        <w:t>Journal of Finance</w:t>
      </w:r>
      <w:r>
        <w:rPr>
          <w:rFonts w:cs="Times New Roman PS"/>
        </w:rPr>
        <w:t xml:space="preserve">, </w:t>
      </w:r>
      <w:r>
        <w:rPr>
          <w:rFonts w:cs="Times New Roman PS"/>
          <w:i/>
        </w:rPr>
        <w:t xml:space="preserve">supra </w:t>
      </w:r>
      <w:r>
        <w:rPr>
          <w:rFonts w:cs="Times New Roman PS"/>
        </w:rPr>
        <w:t xml:space="preserve">note </w:t>
      </w:r>
      <w:r>
        <w:rPr>
          <w:rFonts w:cs="Times New Roman PS"/>
        </w:rPr>
        <w:fldChar w:fldCharType="begin"/>
      </w:r>
      <w:r>
        <w:rPr>
          <w:rFonts w:cs="Times New Roman PS"/>
        </w:rPr>
        <w:instrText xml:space="preserve"> NOTEREF _Ref19897592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Pr>
          <w:rFonts w:cs="Times New Roman PS"/>
        </w:rPr>
        <w:t>—</w:t>
      </w:r>
      <w:r w:rsidRPr="00E847CF">
        <w:rPr>
          <w:rFonts w:cs="Times New Roman PS"/>
        </w:rPr>
        <w:t xml:space="preserve">has been downloaded on SSRN over </w:t>
      </w:r>
      <w:r>
        <w:rPr>
          <w:rFonts w:cs="Times New Roman PS"/>
        </w:rPr>
        <w:t>12,500</w:t>
      </w:r>
      <w:r w:rsidRPr="00E847CF">
        <w:rPr>
          <w:rFonts w:cs="Times New Roman PS"/>
        </w:rPr>
        <w:t xml:space="preserve"> times as of </w:t>
      </w:r>
      <w:r>
        <w:rPr>
          <w:rFonts w:cs="Times New Roman PS"/>
        </w:rPr>
        <w:t>November</w:t>
      </w:r>
      <w:r w:rsidRPr="00E847CF">
        <w:rPr>
          <w:rFonts w:cs="Times New Roman PS"/>
        </w:rPr>
        <w:t xml:space="preserve"> 2019.</w:t>
      </w:r>
      <w:r w:rsidRPr="00BB7969">
        <w:rPr>
          <w:rFonts w:cs="Times New Roman PS"/>
        </w:rPr>
        <w:t xml:space="preserve"> </w:t>
      </w:r>
      <w:r w:rsidRPr="006D20A9">
        <w:rPr>
          <w:rFonts w:cs="Times New Roman PS"/>
          <w:i/>
        </w:rPr>
        <w:t xml:space="preserve">See </w:t>
      </w:r>
      <w:r w:rsidRPr="00BB7969">
        <w:rPr>
          <w:rFonts w:cs="Times New Roman PS"/>
        </w:rPr>
        <w:t>Jos</w:t>
      </w:r>
      <w:r>
        <w:rPr>
          <w:rFonts w:cs="Times New Roman PS"/>
        </w:rPr>
        <w:t>é</w:t>
      </w:r>
      <w:r w:rsidRPr="00BB7969">
        <w:rPr>
          <w:rFonts w:cs="Times New Roman PS"/>
        </w:rPr>
        <w:t xml:space="preserve"> Azar, Martin C. Schmalz &amp; Isabel Tecu, </w:t>
      </w:r>
      <w:r w:rsidRPr="00BB7969">
        <w:rPr>
          <w:rFonts w:cs="Times New Roman PS"/>
          <w:i/>
        </w:rPr>
        <w:t>Anticompetit</w:t>
      </w:r>
      <w:r>
        <w:rPr>
          <w:rFonts w:cs="Times New Roman PS"/>
          <w:i/>
        </w:rPr>
        <w:t>ive Effects of Common Ownership</w:t>
      </w:r>
      <w:r>
        <w:rPr>
          <w:rFonts w:cs="Times New Roman PS"/>
        </w:rPr>
        <w:t>,</w:t>
      </w:r>
      <w:r w:rsidRPr="00BB7969">
        <w:rPr>
          <w:rFonts w:cs="Times New Roman PS"/>
          <w:i/>
        </w:rPr>
        <w:t xml:space="preserve"> </w:t>
      </w:r>
      <w:r w:rsidRPr="00BB7969">
        <w:rPr>
          <w:rFonts w:cs="Times New Roman PS"/>
        </w:rPr>
        <w:t>SSRN</w:t>
      </w:r>
      <w:r w:rsidRPr="00BB7969">
        <w:rPr>
          <w:rFonts w:cs="Times New Roman PS"/>
          <w:smallCaps/>
        </w:rPr>
        <w:t xml:space="preserve"> (</w:t>
      </w:r>
      <w:r w:rsidRPr="00BB7969">
        <w:rPr>
          <w:rFonts w:cs="Times New Roman PS"/>
        </w:rPr>
        <w:t xml:space="preserve">Apr. 22, 2014), </w:t>
      </w:r>
      <w:r w:rsidRPr="004158BB">
        <w:rPr>
          <w:rStyle w:val="Hyperlink"/>
          <w:color w:val="auto"/>
          <w:u w:val="none"/>
        </w:rPr>
        <w:t>https://papers.ssrn.com/sol3/papers.cfm?abstract_id=</w:t>
      </w:r>
      <w:r>
        <w:rPr>
          <w:rStyle w:val="Hyperlink"/>
          <w:color w:val="auto"/>
          <w:u w:val="none"/>
        </w:rPr>
        <w:br/>
      </w:r>
      <w:r w:rsidRPr="004158BB">
        <w:rPr>
          <w:rStyle w:val="Hyperlink"/>
          <w:color w:val="auto"/>
          <w:u w:val="none"/>
        </w:rPr>
        <w:t>2427345</w:t>
      </w:r>
      <w:r>
        <w:rPr>
          <w:rStyle w:val="Hyperlink"/>
          <w:color w:val="auto"/>
          <w:u w:val="none"/>
        </w:rPr>
        <w:t xml:space="preserve"> [</w:t>
      </w:r>
      <w:r w:rsidRPr="003B0BC8">
        <w:rPr>
          <w:rStyle w:val="Hyperlink"/>
          <w:color w:val="auto"/>
          <w:u w:val="none"/>
        </w:rPr>
        <w:t>https://perma.cc/U54U-WND5</w:t>
      </w:r>
      <w:r>
        <w:rPr>
          <w:rStyle w:val="Hyperlink"/>
          <w:color w:val="auto"/>
          <w:u w:val="none"/>
        </w:rPr>
        <w:t>]</w:t>
      </w:r>
      <w:r w:rsidRPr="00F82B21">
        <w:t xml:space="preserve"> </w:t>
      </w:r>
      <w:r>
        <w:t>(indicating 12,598 downloads as of November 29, 2019).</w:t>
      </w:r>
    </w:p>
  </w:footnote>
  <w:footnote w:id="33">
    <w:p w14:paraId="2BC440D4" w14:textId="00F640F5"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Azar</w:t>
      </w:r>
      <w:r>
        <w:rPr>
          <w:rFonts w:cs="Times New Roman PS"/>
        </w:rPr>
        <w:t>, Schmalz &amp; Tecu</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_Ref19216205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sidRPr="00BB7969">
        <w:rPr>
          <w:rFonts w:cs="Times New Roman PS"/>
        </w:rPr>
        <w:t>,</w:t>
      </w:r>
      <w:r w:rsidRPr="00E847CF">
        <w:rPr>
          <w:rFonts w:cs="Times New Roman PS"/>
        </w:rPr>
        <w:t xml:space="preserve"> at 1552-58</w:t>
      </w:r>
      <w:r w:rsidRPr="00BB7969">
        <w:rPr>
          <w:rFonts w:cs="Times New Roman PS"/>
        </w:rPr>
        <w:t>.</w:t>
      </w:r>
    </w:p>
  </w:footnote>
  <w:footnote w:id="34">
    <w:p w14:paraId="22F7D258" w14:textId="2D4EC3CD" w:rsidR="00051004" w:rsidRPr="00BB7969"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BB7969" w:rsidDel="00D7591D">
        <w:rPr>
          <w:rFonts w:cs="Times New Roman PS"/>
          <w:i/>
        </w:rPr>
        <w:t>Id</w:t>
      </w:r>
      <w:r w:rsidRPr="00EA0C86">
        <w:rPr>
          <w:rFonts w:cs="Times New Roman PS"/>
          <w:i/>
        </w:rPr>
        <w:t>.</w:t>
      </w:r>
      <w:r w:rsidRPr="00BB7969">
        <w:rPr>
          <w:rFonts w:cs="Times New Roman PS"/>
        </w:rPr>
        <w:t xml:space="preserve"> at 1552-53.</w:t>
      </w:r>
    </w:p>
  </w:footnote>
  <w:footnote w:id="35">
    <w:p w14:paraId="184D3ED5" w14:textId="10114849"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Hemphill &amp; Kahan,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_Ref19265597 \h </w:instrText>
      </w:r>
      <w:r>
        <w:rPr>
          <w:rFonts w:cs="Times New Roman PS"/>
        </w:rPr>
      </w:r>
      <w:r>
        <w:rPr>
          <w:rFonts w:cs="Times New Roman PS"/>
        </w:rPr>
        <w:fldChar w:fldCharType="separate"/>
      </w:r>
      <w:r w:rsidR="005C51FD">
        <w:rPr>
          <w:rFonts w:cs="Times New Roman PS"/>
        </w:rPr>
        <w:t>28</w:t>
      </w:r>
      <w:r>
        <w:rPr>
          <w:rFonts w:cs="Times New Roman PS"/>
        </w:rPr>
        <w:fldChar w:fldCharType="end"/>
      </w:r>
      <w:r w:rsidRPr="00BB7969">
        <w:rPr>
          <w:rFonts w:cs="Times New Roman PS"/>
        </w:rPr>
        <w:t xml:space="preserve"> </w:t>
      </w:r>
      <w:r>
        <w:rPr>
          <w:rFonts w:cs="Times New Roman PS"/>
        </w:rPr>
        <w:t xml:space="preserve">(manuscript </w:t>
      </w:r>
      <w:r w:rsidRPr="00BB7969">
        <w:rPr>
          <w:rFonts w:cs="Times New Roman PS"/>
        </w:rPr>
        <w:t>at 47-49</w:t>
      </w:r>
      <w:r>
        <w:rPr>
          <w:rFonts w:cs="Times New Roman PS"/>
        </w:rPr>
        <w:t xml:space="preserve">). </w:t>
      </w:r>
      <w:r w:rsidRPr="00E847CF">
        <w:rPr>
          <w:rFonts w:cs="Times New Roman PS"/>
        </w:rPr>
        <w:t>Hemphill and Kahan also note the lack of strong incentives on the part of institutional common owners to undertake costly or risky actions to increase portfolio value</w:t>
      </w:r>
      <w:r w:rsidRPr="00315055">
        <w:t>s</w:t>
      </w:r>
      <w:r w:rsidRPr="008E7281">
        <w:t xml:space="preserve">. </w:t>
      </w:r>
      <w:r w:rsidRPr="009E4766">
        <w:rPr>
          <w:rFonts w:cs="Times New Roman PS"/>
          <w:i/>
        </w:rPr>
        <w:t>Id.</w:t>
      </w:r>
      <w:r>
        <w:rPr>
          <w:rFonts w:cs="Times New Roman PS"/>
          <w:i/>
        </w:rPr>
        <w:t xml:space="preserve"> </w:t>
      </w:r>
      <w:r>
        <w:rPr>
          <w:rFonts w:cs="Times New Roman PS"/>
        </w:rPr>
        <w:t xml:space="preserve">(manuscript at 40). </w:t>
      </w:r>
      <w:r w:rsidRPr="00E847CF">
        <w:rPr>
          <w:rFonts w:cs="Times New Roman PS"/>
        </w:rPr>
        <w:t>Index-focused investors, in particular, have traditionally been viewed as passive.</w:t>
      </w:r>
      <w:r>
        <w:rPr>
          <w:rFonts w:cs="Times New Roman PS"/>
        </w:rPr>
        <w:t xml:space="preserve"> </w:t>
      </w:r>
      <w:r w:rsidRPr="006D20A9">
        <w:rPr>
          <w:rFonts w:cs="Times New Roman PS"/>
          <w:i/>
        </w:rPr>
        <w:t>See</w:t>
      </w:r>
      <w:r>
        <w:rPr>
          <w:rFonts w:cs="Times New Roman PS"/>
        </w:rPr>
        <w:t xml:space="preserve"> </w:t>
      </w:r>
      <w:r>
        <w:rPr>
          <w:rFonts w:cs="Times New Roman PS"/>
          <w:i/>
        </w:rPr>
        <w:t>i</w:t>
      </w:r>
      <w:r w:rsidRPr="006D20A9">
        <w:rPr>
          <w:rFonts w:cs="Times New Roman PS"/>
          <w:i/>
        </w:rPr>
        <w:t>d.</w:t>
      </w:r>
      <w:r>
        <w:rPr>
          <w:rFonts w:cs="Times New Roman PS"/>
        </w:rPr>
        <w:t xml:space="preserve"> (manuscript at 45). </w:t>
      </w:r>
      <w:r w:rsidRPr="00E847CF">
        <w:rPr>
          <w:rFonts w:cs="Times New Roman PS"/>
        </w:rPr>
        <w:t>Their economic incentives are to provide investment opportunities that accurately track indexes at the lowest possible cost.</w:t>
      </w:r>
      <w:r>
        <w:rPr>
          <w:rFonts w:cs="Times New Roman PS"/>
        </w:rPr>
        <w:t xml:space="preserve"> </w:t>
      </w:r>
      <w:r w:rsidRPr="00E847CF">
        <w:rPr>
          <w:rFonts w:cs="Times New Roman PS"/>
          <w:i/>
        </w:rPr>
        <w:t>Id</w:t>
      </w:r>
      <w:r w:rsidRPr="006D20A9">
        <w:rPr>
          <w:i/>
        </w:rPr>
        <w:t>.</w:t>
      </w:r>
      <w:r w:rsidRPr="00E847CF">
        <w:rPr>
          <w:rFonts w:cs="Times New Roman PS"/>
        </w:rPr>
        <w:t xml:space="preserve"> </w:t>
      </w:r>
      <w:r>
        <w:rPr>
          <w:rFonts w:cs="Times New Roman PS"/>
        </w:rPr>
        <w:t xml:space="preserve">(manuscript </w:t>
      </w:r>
      <w:r w:rsidRPr="00BB7969">
        <w:rPr>
          <w:rFonts w:cs="Times New Roman PS"/>
        </w:rPr>
        <w:t>at 44-46</w:t>
      </w:r>
      <w:r>
        <w:rPr>
          <w:rFonts w:cs="Times New Roman PS"/>
        </w:rPr>
        <w:t xml:space="preserve">). </w:t>
      </w:r>
      <w:r w:rsidRPr="00E847CF">
        <w:rPr>
          <w:rFonts w:cs="Times New Roman PS"/>
        </w:rPr>
        <w:t>As such, some commentators conclude that these funds are unlikely to invest resources in attempting to shape corporate policy or governance.</w:t>
      </w:r>
      <w:r>
        <w:rPr>
          <w:rFonts w:cs="Times New Roman PS"/>
        </w:rPr>
        <w:t xml:space="preserve"> </w:t>
      </w:r>
      <w:r w:rsidRPr="00E847CF">
        <w:rPr>
          <w:rFonts w:cs="Times New Roman PS"/>
          <w:i/>
        </w:rPr>
        <w:t>See, e.g</w:t>
      </w:r>
      <w:r>
        <w:rPr>
          <w:rFonts w:cs="Times New Roman PS"/>
          <w:i/>
        </w:rPr>
        <w:t>.</w:t>
      </w:r>
      <w:r>
        <w:rPr>
          <w:rFonts w:cs="Times New Roman PS"/>
        </w:rPr>
        <w:t xml:space="preserve">, </w:t>
      </w:r>
      <w:r w:rsidRPr="00E847CF">
        <w:rPr>
          <w:rFonts w:cs="Times New Roman PS"/>
        </w:rPr>
        <w:t xml:space="preserve">Bebchuk &amp; Hirst,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_Ref19647288 \h </w:instrText>
      </w:r>
      <w:r>
        <w:rPr>
          <w:rFonts w:cs="Times New Roman PS"/>
        </w:rPr>
      </w:r>
      <w:r>
        <w:rPr>
          <w:rFonts w:cs="Times New Roman PS"/>
        </w:rPr>
        <w:fldChar w:fldCharType="separate"/>
      </w:r>
      <w:r w:rsidR="005C51FD">
        <w:rPr>
          <w:rFonts w:cs="Times New Roman PS"/>
        </w:rPr>
        <w:t>14</w:t>
      </w:r>
      <w:r>
        <w:rPr>
          <w:rFonts w:cs="Times New Roman PS"/>
        </w:rPr>
        <w:fldChar w:fldCharType="end"/>
      </w:r>
      <w:r w:rsidRPr="00E847CF">
        <w:rPr>
          <w:rFonts w:cs="Times New Roman PS"/>
        </w:rPr>
        <w:t xml:space="preserve"> </w:t>
      </w:r>
      <w:r>
        <w:rPr>
          <w:rFonts w:cs="Times New Roman PS"/>
        </w:rPr>
        <w:t xml:space="preserve">(manuscript </w:t>
      </w:r>
      <w:r w:rsidRPr="00E847CF">
        <w:rPr>
          <w:rFonts w:cs="Times New Roman PS"/>
        </w:rPr>
        <w:t>at 79</w:t>
      </w:r>
      <w:r>
        <w:rPr>
          <w:rFonts w:cs="Times New Roman PS"/>
        </w:rPr>
        <w:t>)</w:t>
      </w:r>
      <w:r w:rsidRPr="00E847CF">
        <w:rPr>
          <w:rFonts w:cs="Times New Roman PS"/>
        </w:rPr>
        <w:t xml:space="preserve"> (concluding that </w:t>
      </w:r>
      <w:r>
        <w:rPr>
          <w:rFonts w:cs="Times New Roman PS"/>
        </w:rPr>
        <w:t>“</w:t>
      </w:r>
      <w:r w:rsidRPr="00E847CF">
        <w:rPr>
          <w:rFonts w:cs="Times New Roman PS"/>
        </w:rPr>
        <w:t>index fund managers have inadequate incentives to engage in stewardship aimed at enhancing the value of particular companies</w:t>
      </w:r>
      <w:r>
        <w:rPr>
          <w:rFonts w:cs="Times New Roman PS"/>
        </w:rPr>
        <w:t>”</w:t>
      </w:r>
      <w:r w:rsidRPr="00E847CF">
        <w:rPr>
          <w:rFonts w:cs="Times New Roman PS"/>
        </w:rPr>
        <w:t>).</w:t>
      </w:r>
    </w:p>
  </w:footnote>
  <w:footnote w:id="36">
    <w:p w14:paraId="66702215" w14:textId="0D3061C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Hemphill &amp; Kahan,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_Ref19265597 \h </w:instrText>
      </w:r>
      <w:r>
        <w:rPr>
          <w:rFonts w:cs="Times New Roman PS"/>
        </w:rPr>
      </w:r>
      <w:r>
        <w:rPr>
          <w:rFonts w:cs="Times New Roman PS"/>
        </w:rPr>
        <w:fldChar w:fldCharType="separate"/>
      </w:r>
      <w:r w:rsidR="005C51FD">
        <w:rPr>
          <w:rFonts w:cs="Times New Roman PS"/>
        </w:rPr>
        <w:t>28</w:t>
      </w:r>
      <w:r>
        <w:rPr>
          <w:rFonts w:cs="Times New Roman PS"/>
        </w:rPr>
        <w:fldChar w:fldCharType="end"/>
      </w:r>
      <w:r w:rsidRPr="00E847CF">
        <w:rPr>
          <w:rFonts w:cs="Times New Roman PS"/>
        </w:rPr>
        <w:t xml:space="preserve"> </w:t>
      </w:r>
      <w:r>
        <w:rPr>
          <w:rFonts w:cs="Times New Roman PS"/>
        </w:rPr>
        <w:t xml:space="preserve">(manuscript </w:t>
      </w:r>
      <w:r w:rsidRPr="00E847CF">
        <w:rPr>
          <w:rFonts w:cs="Times New Roman PS"/>
        </w:rPr>
        <w:t>at 6-8</w:t>
      </w:r>
      <w:r>
        <w:rPr>
          <w:rFonts w:cs="Times New Roman PS"/>
        </w:rPr>
        <w:t>).</w:t>
      </w:r>
    </w:p>
  </w:footnote>
  <w:footnote w:id="37">
    <w:p w14:paraId="76D85C03" w14:textId="78895503"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6D20A9">
        <w:rPr>
          <w:i/>
        </w:rPr>
        <w:t>.</w:t>
      </w:r>
      <w:r w:rsidRPr="00E847CF">
        <w:rPr>
          <w:rFonts w:cs="Times New Roman PS"/>
        </w:rPr>
        <w:t xml:space="preserve"> </w:t>
      </w:r>
      <w:r>
        <w:rPr>
          <w:rFonts w:cs="Times New Roman PS"/>
        </w:rPr>
        <w:t xml:space="preserve">(manuscript </w:t>
      </w:r>
      <w:r w:rsidRPr="00E847CF">
        <w:rPr>
          <w:rFonts w:cs="Times New Roman PS"/>
        </w:rPr>
        <w:t>at 21-22</w:t>
      </w:r>
      <w:r>
        <w:rPr>
          <w:rFonts w:cs="Times New Roman PS"/>
        </w:rPr>
        <w:t>).</w:t>
      </w:r>
    </w:p>
  </w:footnote>
  <w:footnote w:id="38">
    <w:p w14:paraId="654EDDDE" w14:textId="1915E026"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6D20A9">
        <w:rPr>
          <w:i/>
        </w:rPr>
        <w:t>.</w:t>
      </w:r>
      <w:r w:rsidRPr="00E847CF">
        <w:rPr>
          <w:rFonts w:cs="Times New Roman PS"/>
        </w:rPr>
        <w:t xml:space="preserve"> </w:t>
      </w:r>
      <w:r>
        <w:rPr>
          <w:rFonts w:cs="Times New Roman PS"/>
        </w:rPr>
        <w:t xml:space="preserve">(manuscript </w:t>
      </w:r>
      <w:r w:rsidRPr="00E847CF">
        <w:rPr>
          <w:rFonts w:cs="Times New Roman PS"/>
        </w:rPr>
        <w:t>at 30-31</w:t>
      </w:r>
      <w:r>
        <w:rPr>
          <w:rFonts w:cs="Times New Roman PS"/>
        </w:rPr>
        <w:t>)</w:t>
      </w:r>
      <w:r w:rsidRPr="00E847CF">
        <w:rPr>
          <w:rFonts w:cs="Times New Roman PS"/>
        </w:rPr>
        <w:t>.</w:t>
      </w:r>
    </w:p>
  </w:footnote>
  <w:footnote w:id="39">
    <w:p w14:paraId="1DA27461" w14:textId="14D4FF4C"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_Ref19703613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2</w:t>
      </w:r>
      <w:r>
        <w:rPr>
          <w:rFonts w:cs="Times New Roman PS"/>
        </w:rPr>
        <w:t>.</w:t>
      </w:r>
    </w:p>
  </w:footnote>
  <w:footnote w:id="40">
    <w:p w14:paraId="7C5761D6" w14:textId="6305DC3C"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AEGS (2016),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_Ref19703613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28</w:t>
      </w:r>
      <w:r>
        <w:rPr>
          <w:rFonts w:cs="Times New Roman PS"/>
        </w:rPr>
        <w:t>.</w:t>
      </w:r>
    </w:p>
  </w:footnote>
  <w:footnote w:id="41">
    <w:p w14:paraId="3F513C36" w14:textId="6AB5CB56"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_Ref19703613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3-4</w:t>
      </w:r>
      <w:r>
        <w:rPr>
          <w:rFonts w:cs="Times New Roman PS"/>
        </w:rPr>
        <w:t>.</w:t>
      </w:r>
    </w:p>
  </w:footnote>
  <w:footnote w:id="42">
    <w:p w14:paraId="2A7FCBFE" w14:textId="3DCD585D"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Holmstrom,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_Ref19706676 \h </w:instrText>
      </w:r>
      <w:r>
        <w:rPr>
          <w:rFonts w:cs="Times New Roman PS"/>
        </w:rPr>
      </w:r>
      <w:r>
        <w:rPr>
          <w:rFonts w:cs="Times New Roman PS"/>
        </w:rPr>
        <w:fldChar w:fldCharType="separate"/>
      </w:r>
      <w:r w:rsidR="005C51FD">
        <w:rPr>
          <w:rFonts w:cs="Times New Roman PS"/>
        </w:rPr>
        <w:t>7</w:t>
      </w:r>
      <w:r>
        <w:rPr>
          <w:rFonts w:cs="Times New Roman PS"/>
        </w:rPr>
        <w:fldChar w:fldCharType="end"/>
      </w:r>
      <w:r>
        <w:rPr>
          <w:rFonts w:cs="Times New Roman PS"/>
        </w:rPr>
        <w:t>, at 334-38.</w:t>
      </w:r>
    </w:p>
  </w:footnote>
  <w:footnote w:id="43">
    <w:p w14:paraId="03C1AA17" w14:textId="2B96428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Martin Schmalz, </w:t>
      </w:r>
      <w:r>
        <w:rPr>
          <w:rFonts w:cs="Times New Roman PS"/>
        </w:rPr>
        <w:t>Presentation at FTC Hearing #8 on Competition and Consumer Protection in the 21st Century: Competitive Harm from Common Ownership: Common Ownership Theories, Governance “Mechanisms” &amp; Policy</w:t>
      </w:r>
      <w:r w:rsidRPr="00E847CF">
        <w:rPr>
          <w:rFonts w:cs="Times New Roman PS"/>
        </w:rPr>
        <w:t xml:space="preserve"> </w:t>
      </w:r>
      <w:r>
        <w:rPr>
          <w:rFonts w:cs="Times New Roman PS"/>
        </w:rPr>
        <w:t>63 (Dec. 6, 2018).</w:t>
      </w:r>
    </w:p>
  </w:footnote>
  <w:footnote w:id="44">
    <w:p w14:paraId="37A6ED87" w14:textId="0D13F8A5" w:rsidR="00051004" w:rsidRPr="0069129E"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p>
  </w:footnote>
  <w:footnote w:id="45">
    <w:p w14:paraId="19F31E3A" w14:textId="63FDFC16"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sidRPr="00B24BC3">
        <w:rPr>
          <w:rFonts w:cs="Times New Roman PS"/>
          <w:i/>
          <w:szCs w:val="18"/>
        </w:rPr>
        <w:t>See</w:t>
      </w:r>
      <w:r w:rsidRPr="00B24BC3">
        <w:rPr>
          <w:rFonts w:cs="Times New Roman PS"/>
          <w:szCs w:val="18"/>
        </w:rPr>
        <w:t xml:space="preserve"> David I. Walker, </w:t>
      </w:r>
      <w:r w:rsidRPr="00B24BC3">
        <w:rPr>
          <w:rFonts w:cs="Times New Roman PS"/>
          <w:i/>
          <w:szCs w:val="18"/>
        </w:rPr>
        <w:t>The Way We Pay Now: Understanding and Evaluating Performance-Based Executive Pay</w:t>
      </w:r>
      <w:r w:rsidRPr="00B24BC3">
        <w:rPr>
          <w:rFonts w:cs="Times New Roman PS"/>
          <w:szCs w:val="18"/>
        </w:rPr>
        <w:t>, 1 J</w:t>
      </w:r>
      <w:r w:rsidRPr="00B24BC3">
        <w:rPr>
          <w:rFonts w:cs="Times New Roman PS"/>
          <w:smallCaps/>
          <w:szCs w:val="18"/>
        </w:rPr>
        <w:t>.L. Fin. &amp; Acct</w:t>
      </w:r>
      <w:r w:rsidRPr="00B24BC3">
        <w:rPr>
          <w:rFonts w:cs="Times New Roman PS"/>
          <w:szCs w:val="18"/>
        </w:rPr>
        <w:t>. 395, 399 (2016) (</w:t>
      </w:r>
      <w:r>
        <w:rPr>
          <w:rFonts w:cs="Times New Roman PS"/>
          <w:szCs w:val="18"/>
        </w:rPr>
        <w:t>“</w:t>
      </w:r>
      <w:r w:rsidRPr="00B24BC3">
        <w:rPr>
          <w:rFonts w:cs="Times New Roman PS"/>
          <w:szCs w:val="18"/>
        </w:rPr>
        <w:t xml:space="preserve">Conventional stock options, and to a lesser extent restricted stock, reigned supreme during the early years of </w:t>
      </w:r>
      <w:r>
        <w:rPr>
          <w:rFonts w:cs="Times New Roman PS"/>
          <w:szCs w:val="18"/>
        </w:rPr>
        <w:t xml:space="preserve">the </w:t>
      </w:r>
      <w:r w:rsidRPr="00B24BC3">
        <w:rPr>
          <w:rFonts w:cs="Times New Roman PS"/>
          <w:szCs w:val="18"/>
        </w:rPr>
        <w:t>equity pay</w:t>
      </w:r>
      <w:r>
        <w:rPr>
          <w:rFonts w:cs="Times New Roman PS"/>
          <w:szCs w:val="18"/>
        </w:rPr>
        <w:t xml:space="preserve"> era</w:t>
      </w:r>
      <w:r w:rsidRPr="00B24BC3">
        <w:rPr>
          <w:rFonts w:cs="Times New Roman PS"/>
          <w:szCs w:val="18"/>
        </w:rPr>
        <w:t>.</w:t>
      </w:r>
      <w:r>
        <w:rPr>
          <w:rFonts w:cs="Times New Roman PS"/>
          <w:szCs w:val="18"/>
        </w:rPr>
        <w:t>”</w:t>
      </w:r>
      <w:r w:rsidRPr="00B24BC3">
        <w:rPr>
          <w:rFonts w:cs="Times New Roman PS"/>
          <w:szCs w:val="18"/>
        </w:rPr>
        <w:t>).</w:t>
      </w:r>
    </w:p>
  </w:footnote>
  <w:footnote w:id="46">
    <w:p w14:paraId="1EDB43CE" w14:textId="65A637AE"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Pr>
          <w:rFonts w:cs="Times New Roman PS"/>
          <w:i/>
          <w:szCs w:val="18"/>
        </w:rPr>
        <w:t>See id.</w:t>
      </w:r>
      <w:r w:rsidRPr="00B24BC3">
        <w:rPr>
          <w:rFonts w:cs="Times New Roman PS"/>
          <w:szCs w:val="18"/>
        </w:rPr>
        <w:t xml:space="preserve"> at 405-08 (detailing rise of RPE compensation in 2000s).</w:t>
      </w:r>
    </w:p>
  </w:footnote>
  <w:footnote w:id="47">
    <w:p w14:paraId="5CC4FA2B" w14:textId="361C981B"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The average compensation of the CEOs of large U.S. public companies increased in real terms (adjusting for inflation) by 500% or more between 1975 and 2000.</w:t>
      </w:r>
      <w:r>
        <w:rPr>
          <w:rFonts w:cs="Times New Roman PS"/>
        </w:rPr>
        <w:t xml:space="preserve"> </w:t>
      </w:r>
      <w:r>
        <w:rPr>
          <w:rFonts w:cs="Times New Roman PS"/>
          <w:i/>
        </w:rPr>
        <w:t xml:space="preserve">See </w:t>
      </w:r>
      <w:r w:rsidRPr="00E847CF">
        <w:rPr>
          <w:rFonts w:cs="Times New Roman PS"/>
        </w:rPr>
        <w:t xml:space="preserve">Xavier Gabaix &amp; Augustin Landier, </w:t>
      </w:r>
      <w:r w:rsidRPr="00E847CF">
        <w:rPr>
          <w:rFonts w:cs="Times New Roman PS"/>
          <w:i/>
        </w:rPr>
        <w:t>Why Has CEO Pay Increased So Much?</w:t>
      </w:r>
      <w:r w:rsidRPr="006D20A9">
        <w:t>,</w:t>
      </w:r>
      <w:r w:rsidRPr="00E847CF">
        <w:rPr>
          <w:rFonts w:cs="Times New Roman PS"/>
        </w:rPr>
        <w:t xml:space="preserve"> 123 Q.J. </w:t>
      </w:r>
      <w:r w:rsidRPr="00E847CF">
        <w:rPr>
          <w:rFonts w:cs="Times New Roman PS"/>
          <w:smallCaps/>
        </w:rPr>
        <w:t>Econ</w:t>
      </w:r>
      <w:r w:rsidRPr="00E847CF">
        <w:rPr>
          <w:rFonts w:cs="Times New Roman PS"/>
        </w:rPr>
        <w:t>. 49, 51 (2008</w:t>
      </w:r>
      <w:r w:rsidRPr="00BB7969">
        <w:rPr>
          <w:rFonts w:cs="Times New Roman PS"/>
        </w:rPr>
        <w:t>)</w:t>
      </w:r>
      <w:r>
        <w:rPr>
          <w:rFonts w:cs="Times New Roman PS"/>
        </w:rPr>
        <w:t>;</w:t>
      </w:r>
      <w:r w:rsidRPr="00E847CF">
        <w:rPr>
          <w:rFonts w:cs="Times New Roman PS"/>
        </w:rPr>
        <w:t xml:space="preserve"> </w:t>
      </w:r>
      <w:r>
        <w:rPr>
          <w:rFonts w:cs="Times New Roman PS"/>
          <w:i/>
        </w:rPr>
        <w:t xml:space="preserve">see also </w:t>
      </w:r>
      <w:r w:rsidRPr="00E847CF">
        <w:rPr>
          <w:rFonts w:cs="Times New Roman PS"/>
        </w:rPr>
        <w:t xml:space="preserve">Carola Frydman &amp; Raven E. Saks, </w:t>
      </w:r>
      <w:r w:rsidRPr="00E847CF">
        <w:rPr>
          <w:rFonts w:cs="Times New Roman PS"/>
          <w:i/>
        </w:rPr>
        <w:t>Executive Compensation: A New View from a Long-</w:t>
      </w:r>
      <w:r>
        <w:rPr>
          <w:rFonts w:cs="Times New Roman PS"/>
          <w:i/>
        </w:rPr>
        <w:t>Term</w:t>
      </w:r>
      <w:r w:rsidRPr="00BB7969">
        <w:rPr>
          <w:rFonts w:cs="Times New Roman PS"/>
          <w:i/>
        </w:rPr>
        <w:t xml:space="preserve"> </w:t>
      </w:r>
      <w:r w:rsidRPr="00E847CF">
        <w:rPr>
          <w:rFonts w:cs="Times New Roman PS"/>
          <w:i/>
        </w:rPr>
        <w:t>Perspective</w:t>
      </w:r>
      <w:r>
        <w:rPr>
          <w:rFonts w:cs="Times New Roman PS"/>
          <w:i/>
        </w:rPr>
        <w:t>, 1936-2005</w:t>
      </w:r>
      <w:r w:rsidRPr="00E847CF">
        <w:rPr>
          <w:rFonts w:cs="Times New Roman PS"/>
        </w:rPr>
        <w:t xml:space="preserve">, 23 </w:t>
      </w:r>
      <w:r w:rsidRPr="00E847CF">
        <w:rPr>
          <w:rFonts w:cs="Times New Roman PS"/>
          <w:smallCaps/>
        </w:rPr>
        <w:t xml:space="preserve">Rev. Fin. </w:t>
      </w:r>
      <w:r w:rsidRPr="00BB7969">
        <w:rPr>
          <w:rFonts w:cs="Times New Roman PS"/>
          <w:smallCaps/>
        </w:rPr>
        <w:t>Stud</w:t>
      </w:r>
      <w:r>
        <w:rPr>
          <w:rFonts w:cs="Times New Roman PS"/>
          <w:smallCaps/>
        </w:rPr>
        <w:t>.</w:t>
      </w:r>
      <w:r w:rsidRPr="00E847CF">
        <w:rPr>
          <w:rFonts w:cs="Times New Roman PS"/>
        </w:rPr>
        <w:t xml:space="preserve"> 2099, 2107 (2010</w:t>
      </w:r>
      <w:r w:rsidRPr="00BB7969">
        <w:rPr>
          <w:rFonts w:cs="Times New Roman PS"/>
        </w:rPr>
        <w:t>)</w:t>
      </w:r>
      <w:r>
        <w:rPr>
          <w:rFonts w:cs="Times New Roman PS"/>
        </w:rPr>
        <w:t>.</w:t>
      </w:r>
    </w:p>
  </w:footnote>
  <w:footnote w:id="48">
    <w:p w14:paraId="0BBE36A4" w14:textId="37C51354"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Frydman &amp; Saks,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_Ref19717219 \h </w:instrText>
      </w:r>
      <w:r>
        <w:rPr>
          <w:rFonts w:cs="Times New Roman PS"/>
        </w:rPr>
      </w:r>
      <w:r>
        <w:rPr>
          <w:rFonts w:cs="Times New Roman PS"/>
        </w:rPr>
        <w:fldChar w:fldCharType="separate"/>
      </w:r>
      <w:r w:rsidR="005C51FD">
        <w:rPr>
          <w:rFonts w:cs="Times New Roman PS"/>
        </w:rPr>
        <w:t>45</w:t>
      </w:r>
      <w:r>
        <w:rPr>
          <w:rFonts w:cs="Times New Roman PS"/>
        </w:rPr>
        <w:fldChar w:fldCharType="end"/>
      </w:r>
      <w:r w:rsidRPr="00E847CF">
        <w:rPr>
          <w:rFonts w:cs="Times New Roman PS"/>
        </w:rPr>
        <w:t>, at 2107</w:t>
      </w:r>
      <w:r>
        <w:rPr>
          <w:rFonts w:cs="Times New Roman PS"/>
        </w:rPr>
        <w:t>.</w:t>
      </w:r>
    </w:p>
  </w:footnote>
  <w:footnote w:id="49">
    <w:p w14:paraId="1B42DE17" w14:textId="41988698" w:rsidR="00051004" w:rsidRPr="00BB7969"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BB7969">
        <w:rPr>
          <w:rFonts w:cs="Times New Roman PS"/>
        </w:rPr>
        <w:t xml:space="preserve">Michael C. Jensen &amp; Kevin J. Murphy, </w:t>
      </w:r>
      <w:r w:rsidRPr="00BB7969">
        <w:rPr>
          <w:rFonts w:cs="Times New Roman PS"/>
          <w:i/>
        </w:rPr>
        <w:t>Performance Pay and Top-Management Incentives</w:t>
      </w:r>
      <w:r w:rsidRPr="00BB7969">
        <w:rPr>
          <w:rFonts w:cs="Times New Roman PS"/>
        </w:rPr>
        <w:t>, 98 J</w:t>
      </w:r>
      <w:r w:rsidRPr="00BB7969">
        <w:rPr>
          <w:rFonts w:cs="Times New Roman PS"/>
          <w:smallCaps/>
        </w:rPr>
        <w:t>. Pol. Econ</w:t>
      </w:r>
      <w:r w:rsidRPr="00BB7969">
        <w:rPr>
          <w:rFonts w:cs="Times New Roman PS"/>
        </w:rPr>
        <w:t>. 225</w:t>
      </w:r>
      <w:r>
        <w:rPr>
          <w:rFonts w:cs="Times New Roman PS"/>
        </w:rPr>
        <w:t xml:space="preserve">, 226 </w:t>
      </w:r>
      <w:r w:rsidRPr="00BB7969">
        <w:rPr>
          <w:rFonts w:cs="Times New Roman PS"/>
        </w:rPr>
        <w:t>(1990)</w:t>
      </w:r>
      <w:r>
        <w:rPr>
          <w:rFonts w:cs="Times New Roman PS"/>
        </w:rPr>
        <w:t xml:space="preserve">; </w:t>
      </w:r>
      <w:r w:rsidRPr="00BB7969">
        <w:rPr>
          <w:rFonts w:cs="Times New Roman PS"/>
        </w:rPr>
        <w:t xml:space="preserve">Michael C. Jensen &amp; Kevin J. Murphy, </w:t>
      </w:r>
      <w:r w:rsidRPr="00BB7969">
        <w:rPr>
          <w:rFonts w:cs="Times New Roman PS"/>
          <w:i/>
        </w:rPr>
        <w:t>CEO Incentive</w:t>
      </w:r>
      <w:r>
        <w:rPr>
          <w:rFonts w:cs="Times New Roman PS"/>
          <w:i/>
        </w:rPr>
        <w:t>s—</w:t>
      </w:r>
      <w:r w:rsidRPr="00BB7969" w:rsidDel="00FF3280">
        <w:rPr>
          <w:rFonts w:cs="Times New Roman PS"/>
          <w:i/>
        </w:rPr>
        <w:t>It</w:t>
      </w:r>
      <w:r>
        <w:rPr>
          <w:rFonts w:cs="Times New Roman PS"/>
          <w:i/>
        </w:rPr>
        <w:t>’</w:t>
      </w:r>
      <w:r w:rsidRPr="00BB7969">
        <w:rPr>
          <w:rFonts w:cs="Times New Roman PS"/>
          <w:i/>
        </w:rPr>
        <w:t>s Not How Much You Pay, But How</w:t>
      </w:r>
      <w:r w:rsidRPr="00BB7969">
        <w:rPr>
          <w:rFonts w:cs="Times New Roman PS"/>
        </w:rPr>
        <w:t xml:space="preserve">, </w:t>
      </w:r>
      <w:r w:rsidRPr="00BB7969">
        <w:rPr>
          <w:rFonts w:cs="Times New Roman PS"/>
          <w:smallCaps/>
        </w:rPr>
        <w:t>Harv. Bus. Rev.</w:t>
      </w:r>
      <w:r>
        <w:rPr>
          <w:rFonts w:cs="Times New Roman PS"/>
          <w:smallCaps/>
        </w:rPr>
        <w:t xml:space="preserve">, </w:t>
      </w:r>
      <w:r>
        <w:rPr>
          <w:rFonts w:cs="Times New Roman PS"/>
        </w:rPr>
        <w:t xml:space="preserve">May-June 1990, at </w:t>
      </w:r>
      <w:r w:rsidRPr="00BB7969">
        <w:rPr>
          <w:rFonts w:cs="Times New Roman PS"/>
        </w:rPr>
        <w:t>138</w:t>
      </w:r>
      <w:r>
        <w:rPr>
          <w:rFonts w:cs="Times New Roman PS"/>
        </w:rPr>
        <w:t>, 138.</w:t>
      </w:r>
    </w:p>
  </w:footnote>
  <w:footnote w:id="50">
    <w:p w14:paraId="6F4EC7C8" w14:textId="6123CD0D"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Prior to 2006, U.S. financial accounting rules strongly favored the use of the conventional, at-the-money stock options that are described in the following note over oth</w:t>
      </w:r>
      <w:r>
        <w:rPr>
          <w:rFonts w:cs="Times New Roman PS"/>
        </w:rPr>
        <w:t xml:space="preserve">er forms of pay. </w:t>
      </w:r>
      <w:r w:rsidRPr="00E847CF">
        <w:rPr>
          <w:rFonts w:cs="Times New Roman PS"/>
        </w:rPr>
        <w:t>Unlike all other forms of pay, companies were not required to recognize on their financial statements any compensation expense for these options at any time.</w:t>
      </w:r>
      <w:r>
        <w:rPr>
          <w:rFonts w:cs="Times New Roman PS"/>
        </w:rPr>
        <w:t xml:space="preserve"> </w:t>
      </w:r>
      <w:r>
        <w:rPr>
          <w:rFonts w:cs="Times New Roman PS"/>
          <w:i/>
        </w:rPr>
        <w:t xml:space="preserve">See </w:t>
      </w:r>
      <w:r w:rsidRPr="00E847CF">
        <w:rPr>
          <w:rFonts w:cs="Times New Roman PS"/>
        </w:rPr>
        <w:t xml:space="preserve">David I. Walker, </w:t>
      </w:r>
      <w:r w:rsidRPr="00E847CF">
        <w:rPr>
          <w:rFonts w:cs="Times New Roman PS"/>
          <w:i/>
        </w:rPr>
        <w:t>The Law and Economics of Executive</w:t>
      </w:r>
      <w:r w:rsidRPr="00E847CF">
        <w:rPr>
          <w:rFonts w:cs="Times New Roman PS"/>
        </w:rPr>
        <w:t xml:space="preserve"> </w:t>
      </w:r>
      <w:r w:rsidRPr="00E847CF">
        <w:rPr>
          <w:rFonts w:cs="Times New Roman PS"/>
          <w:i/>
        </w:rPr>
        <w:t>Compensation: Theory and Evidence</w:t>
      </w:r>
      <w:r w:rsidRPr="00E847CF">
        <w:rPr>
          <w:rFonts w:cs="Times New Roman PS"/>
        </w:rPr>
        <w:t xml:space="preserve">, </w:t>
      </w:r>
      <w:r w:rsidRPr="006D20A9">
        <w:rPr>
          <w:i/>
        </w:rPr>
        <w:t>in</w:t>
      </w:r>
      <w:r w:rsidRPr="00E847CF">
        <w:rPr>
          <w:rFonts w:cs="Times New Roman PS"/>
        </w:rPr>
        <w:t xml:space="preserve"> </w:t>
      </w:r>
      <w:r w:rsidRPr="00E847CF">
        <w:rPr>
          <w:rFonts w:cs="Times New Roman PS"/>
          <w:smallCaps/>
        </w:rPr>
        <w:t>Research Handbook on the Economics of Corporate Law</w:t>
      </w:r>
      <w:r w:rsidRPr="00E847CF">
        <w:rPr>
          <w:rFonts w:cs="Times New Roman PS"/>
        </w:rPr>
        <w:t xml:space="preserve"> 232, 238 (Claire </w:t>
      </w:r>
      <w:r>
        <w:rPr>
          <w:rFonts w:cs="Times New Roman PS"/>
        </w:rPr>
        <w:t xml:space="preserve">A. </w:t>
      </w:r>
      <w:r w:rsidRPr="00BB7969">
        <w:rPr>
          <w:rFonts w:cs="Times New Roman PS"/>
        </w:rPr>
        <w:t xml:space="preserve">Hill &amp; Brett </w:t>
      </w:r>
      <w:r>
        <w:rPr>
          <w:rFonts w:cs="Times New Roman PS"/>
        </w:rPr>
        <w:t xml:space="preserve">M. </w:t>
      </w:r>
      <w:r w:rsidRPr="00BB7969">
        <w:rPr>
          <w:rFonts w:cs="Times New Roman PS"/>
        </w:rPr>
        <w:t>McDonnell eds</w:t>
      </w:r>
      <w:r>
        <w:rPr>
          <w:rFonts w:cs="Times New Roman PS"/>
        </w:rPr>
        <w:t>., 2012). In</w:t>
      </w:r>
      <w:r w:rsidRPr="00E847CF">
        <w:rPr>
          <w:rFonts w:cs="Times New Roman PS"/>
        </w:rPr>
        <w:t xml:space="preserve"> addition, a tax rule</w:t>
      </w:r>
      <w:r>
        <w:rPr>
          <w:rFonts w:cs="Times New Roman PS"/>
        </w:rPr>
        <w:t xml:space="preserve"> enacted in 1993</w:t>
      </w:r>
      <w:r w:rsidRPr="00E847CF">
        <w:rPr>
          <w:rFonts w:cs="Times New Roman PS"/>
        </w:rPr>
        <w:t>, I</w:t>
      </w:r>
      <w:r>
        <w:rPr>
          <w:rFonts w:cs="Times New Roman PS"/>
        </w:rPr>
        <w:t>.</w:t>
      </w:r>
      <w:r w:rsidRPr="00E847CF">
        <w:rPr>
          <w:rFonts w:cs="Times New Roman PS"/>
        </w:rPr>
        <w:t>R</w:t>
      </w:r>
      <w:r>
        <w:rPr>
          <w:rFonts w:cs="Times New Roman PS"/>
        </w:rPr>
        <w:t>.</w:t>
      </w:r>
      <w:r w:rsidRPr="00E847CF">
        <w:rPr>
          <w:rFonts w:cs="Times New Roman PS"/>
        </w:rPr>
        <w:t>C</w:t>
      </w:r>
      <w:r>
        <w:rPr>
          <w:rFonts w:cs="Times New Roman PS"/>
        </w:rPr>
        <w:t>.</w:t>
      </w:r>
      <w:r w:rsidRPr="00E847CF">
        <w:rPr>
          <w:rFonts w:cs="Times New Roman PS"/>
        </w:rPr>
        <w:t xml:space="preserve"> § 162(m), limited corporate tax deductions for senior executive pay to $1 million per executive per year but made an exception for performance-based pay, which included these stock options.</w:t>
      </w:r>
      <w:r>
        <w:rPr>
          <w:rFonts w:cs="Times New Roman PS"/>
        </w:rPr>
        <w:t xml:space="preserve"> </w:t>
      </w:r>
      <w:r>
        <w:rPr>
          <w:i/>
        </w:rPr>
        <w:t>See id.</w:t>
      </w:r>
      <w:r w:rsidRPr="00E847CF">
        <w:rPr>
          <w:rFonts w:cs="Times New Roman PS"/>
        </w:rPr>
        <w:t xml:space="preserve"> </w:t>
      </w:r>
      <w:r w:rsidRPr="0063394F">
        <w:rPr>
          <w:rFonts w:cs="Times New Roman PS"/>
        </w:rPr>
        <w:t>at 239</w:t>
      </w:r>
      <w:r>
        <w:rPr>
          <w:rFonts w:cs="Times New Roman PS"/>
        </w:rPr>
        <w:t xml:space="preserve">. </w:t>
      </w:r>
      <w:r w:rsidRPr="00E847CF">
        <w:rPr>
          <w:rFonts w:cs="Times New Roman PS"/>
        </w:rPr>
        <w:t>It is generally believed that §</w:t>
      </w:r>
      <w:r>
        <w:rPr>
          <w:rFonts w:cs="Times New Roman PS"/>
        </w:rPr>
        <w:t> </w:t>
      </w:r>
      <w:r w:rsidRPr="00E847CF">
        <w:rPr>
          <w:rFonts w:cs="Times New Roman PS"/>
        </w:rPr>
        <w:t>162(m) contributed to the dramatic increase in the use of stock options and other forms of performance-based executive pay in the 1990s.</w:t>
      </w:r>
      <w:r>
        <w:rPr>
          <w:rFonts w:cs="Times New Roman PS"/>
        </w:rPr>
        <w:t xml:space="preserve"> </w:t>
      </w:r>
      <w:r w:rsidRPr="00E847CF">
        <w:rPr>
          <w:rFonts w:cs="Times New Roman PS"/>
          <w:i/>
        </w:rPr>
        <w:t>See</w:t>
      </w:r>
      <w:r w:rsidRPr="00E847CF">
        <w:rPr>
          <w:rFonts w:cs="Times New Roman PS"/>
        </w:rPr>
        <w:t xml:space="preserve"> Gregg D. Polsky, </w:t>
      </w:r>
      <w:r w:rsidRPr="00E847CF">
        <w:rPr>
          <w:rFonts w:cs="Times New Roman PS"/>
          <w:i/>
        </w:rPr>
        <w:t>Controlling Executive Compensation Through the Tax Code</w:t>
      </w:r>
      <w:r w:rsidRPr="00E847CF">
        <w:rPr>
          <w:rFonts w:cs="Times New Roman PS"/>
        </w:rPr>
        <w:t xml:space="preserve">, 64 </w:t>
      </w:r>
      <w:r w:rsidRPr="00E847CF">
        <w:rPr>
          <w:rFonts w:cs="Times New Roman PS"/>
          <w:smallCaps/>
        </w:rPr>
        <w:t>Wash. &amp; Lee L. Rev.</w:t>
      </w:r>
      <w:r w:rsidRPr="00E847CF">
        <w:rPr>
          <w:rFonts w:cs="Times New Roman PS"/>
        </w:rPr>
        <w:t xml:space="preserve"> 877, 906 (2007)</w:t>
      </w:r>
      <w:r>
        <w:rPr>
          <w:rFonts w:cs="Times New Roman PS"/>
        </w:rPr>
        <w:t xml:space="preserve"> (“The enactment of </w:t>
      </w:r>
      <w:r w:rsidRPr="00BB7969">
        <w:rPr>
          <w:rFonts w:cs="Times New Roman PS"/>
        </w:rPr>
        <w:t>§</w:t>
      </w:r>
      <w:r>
        <w:rPr>
          <w:rFonts w:cs="Times New Roman PS"/>
        </w:rPr>
        <w:t xml:space="preserve"> </w:t>
      </w:r>
      <w:r w:rsidRPr="00BB7969">
        <w:rPr>
          <w:rFonts w:cs="Times New Roman PS"/>
        </w:rPr>
        <w:t>162(m)</w:t>
      </w:r>
      <w:r>
        <w:rPr>
          <w:rFonts w:cs="Times New Roman PS"/>
        </w:rPr>
        <w:t xml:space="preserve"> provides an excuse for the colluding parties to engage in significant restructuring of compensation arrangements all in the name of preserving corporate deductions.”).</w:t>
      </w:r>
    </w:p>
  </w:footnote>
  <w:footnote w:id="51">
    <w:p w14:paraId="3C534309" w14:textId="30A10563"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Stock options provide the holder with a right, but no obligation, to purchase shares at a predetermined exercise price</w:t>
      </w:r>
      <w:r w:rsidRPr="00BB7969">
        <w:rPr>
          <w:rFonts w:cs="Times New Roman PS"/>
        </w:rPr>
        <w:t>.</w:t>
      </w:r>
      <w:r>
        <w:rPr>
          <w:rFonts w:cs="Times New Roman PS"/>
        </w:rPr>
        <w:t xml:space="preserve"> </w:t>
      </w:r>
      <w:r w:rsidRPr="00E847CF">
        <w:rPr>
          <w:rFonts w:cs="Times New Roman PS"/>
        </w:rPr>
        <w:t>Conventional compensatory stock options have a fixed exercise price set equal to the market price of the company</w:t>
      </w:r>
      <w:r>
        <w:rPr>
          <w:rFonts w:cs="Times New Roman PS"/>
        </w:rPr>
        <w:t>’</w:t>
      </w:r>
      <w:r w:rsidRPr="00E847CF">
        <w:rPr>
          <w:rFonts w:cs="Times New Roman PS"/>
        </w:rPr>
        <w:t>s shares on the date of the grant (k</w:t>
      </w:r>
      <w:r>
        <w:rPr>
          <w:rFonts w:cs="Times New Roman PS"/>
        </w:rPr>
        <w:t>nown as an at-the-money option);</w:t>
      </w:r>
      <w:r w:rsidRPr="00E847CF">
        <w:rPr>
          <w:rFonts w:cs="Times New Roman PS"/>
        </w:rPr>
        <w:t xml:space="preserve"> vest and become exercisable over some period, typically thre</w:t>
      </w:r>
      <w:r>
        <w:rPr>
          <w:rFonts w:cs="Times New Roman PS"/>
        </w:rPr>
        <w:t>e to five years following grant;</w:t>
      </w:r>
      <w:r w:rsidRPr="00E847CF">
        <w:rPr>
          <w:rFonts w:cs="Times New Roman PS"/>
        </w:rPr>
        <w:t xml:space="preserve"> are nontransferable</w:t>
      </w:r>
      <w:r>
        <w:rPr>
          <w:rFonts w:cs="Times New Roman PS"/>
        </w:rPr>
        <w:t>;</w:t>
      </w:r>
      <w:r w:rsidRPr="00E847CF">
        <w:rPr>
          <w:rFonts w:cs="Times New Roman PS"/>
        </w:rPr>
        <w:t xml:space="preserve"> and expire after ten years.</w:t>
      </w:r>
      <w:r>
        <w:rPr>
          <w:rFonts w:cs="Times New Roman PS"/>
        </w:rPr>
        <w:t xml:space="preserve"> </w:t>
      </w:r>
      <w:r w:rsidRPr="00E847CF">
        <w:rPr>
          <w:rFonts w:cs="Times New Roman PS"/>
        </w:rPr>
        <w:t xml:space="preserve">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_Ref19724741 \h </w:instrText>
      </w:r>
      <w:r>
        <w:rPr>
          <w:rFonts w:cs="Times New Roman PS"/>
        </w:rPr>
      </w:r>
      <w:r>
        <w:rPr>
          <w:rFonts w:cs="Times New Roman PS"/>
        </w:rPr>
        <w:fldChar w:fldCharType="separate"/>
      </w:r>
      <w:r w:rsidR="005C51FD">
        <w:rPr>
          <w:rFonts w:cs="Times New Roman PS"/>
        </w:rPr>
        <w:t>48</w:t>
      </w:r>
      <w:r>
        <w:rPr>
          <w:rFonts w:cs="Times New Roman PS"/>
        </w:rPr>
        <w:fldChar w:fldCharType="end"/>
      </w:r>
      <w:r w:rsidRPr="00E847CF">
        <w:rPr>
          <w:rFonts w:cs="Times New Roman PS"/>
        </w:rPr>
        <w:t>, at 237.</w:t>
      </w:r>
      <w:r>
        <w:rPr>
          <w:rFonts w:cs="Times New Roman PS"/>
        </w:rPr>
        <w:t xml:space="preserve"> </w:t>
      </w:r>
      <w:r w:rsidRPr="00E847CF">
        <w:rPr>
          <w:rFonts w:cs="Times New Roman PS"/>
        </w:rPr>
        <w:t>Time-vested restricted stock is typically awarded to an executive at no explicit cost.</w:t>
      </w:r>
      <w:r>
        <w:rPr>
          <w:rFonts w:cs="Times New Roman PS"/>
        </w:rPr>
        <w:t xml:space="preserve"> </w:t>
      </w:r>
      <w:r w:rsidRPr="006D20A9">
        <w:rPr>
          <w:rFonts w:cs="Times New Roman PS"/>
          <w:i/>
        </w:rPr>
        <w:t>Id</w:t>
      </w:r>
      <w:r>
        <w:rPr>
          <w:rFonts w:cs="Times New Roman PS"/>
          <w:i/>
        </w:rPr>
        <w:t xml:space="preserve">. </w:t>
      </w:r>
      <w:r w:rsidRPr="00E847CF">
        <w:rPr>
          <w:rFonts w:cs="Times New Roman PS"/>
        </w:rPr>
        <w:t>If the executive remains with her company through the vesting period, t</w:t>
      </w:r>
      <w:r>
        <w:rPr>
          <w:rFonts w:cs="Times New Roman PS"/>
        </w:rPr>
        <w:t>he stock becomes owned outright. I</w:t>
      </w:r>
      <w:r w:rsidRPr="00E847CF">
        <w:rPr>
          <w:rFonts w:cs="Times New Roman PS"/>
        </w:rPr>
        <w:t>f the executive leaves prior to vesti</w:t>
      </w:r>
      <w:r>
        <w:rPr>
          <w:rFonts w:cs="Times New Roman PS"/>
        </w:rPr>
        <w:t xml:space="preserve">ng, the stock must be returned. The stock </w:t>
      </w:r>
      <w:r w:rsidRPr="00E847CF">
        <w:rPr>
          <w:rFonts w:cs="Times New Roman PS"/>
        </w:rPr>
        <w:t>may not be transferred or hypothecated in the interim.</w:t>
      </w:r>
      <w:r>
        <w:rPr>
          <w:rFonts w:cs="Times New Roman PS"/>
        </w:rPr>
        <w:t xml:space="preserve"> </w:t>
      </w:r>
      <w:r w:rsidRPr="006D20A9">
        <w:rPr>
          <w:rFonts w:cs="Times New Roman PS"/>
          <w:i/>
        </w:rPr>
        <w:t>Id.</w:t>
      </w:r>
      <w:r>
        <w:rPr>
          <w:rFonts w:cs="Times New Roman PS"/>
        </w:rPr>
        <w:t xml:space="preserve"> </w:t>
      </w:r>
      <w:r w:rsidRPr="00E847CF">
        <w:rPr>
          <w:rFonts w:cs="Times New Roman PS"/>
        </w:rPr>
        <w:t>Restricted stock units (</w:t>
      </w:r>
      <w:r>
        <w:rPr>
          <w:rFonts w:cs="Times New Roman PS"/>
        </w:rPr>
        <w:t>“</w:t>
      </w:r>
      <w:r w:rsidRPr="00E847CF">
        <w:rPr>
          <w:rFonts w:cs="Times New Roman PS"/>
        </w:rPr>
        <w:t>RSUs</w:t>
      </w:r>
      <w:r>
        <w:rPr>
          <w:rFonts w:cs="Times New Roman PS"/>
        </w:rPr>
        <w:t>”</w:t>
      </w:r>
      <w:r w:rsidRPr="00E847CF">
        <w:rPr>
          <w:rFonts w:cs="Times New Roman PS"/>
        </w:rPr>
        <w:t>) are economically identical but represent a promise to deliver stock on the vesting date rather than an actual delivery of contingently owned stock.</w:t>
      </w:r>
      <w:r>
        <w:rPr>
          <w:rFonts w:cs="Times New Roman PS"/>
        </w:rPr>
        <w:t xml:space="preserve"> </w:t>
      </w:r>
      <w:r w:rsidRPr="006D20A9">
        <w:rPr>
          <w:rFonts w:cs="Times New Roman PS"/>
          <w:i/>
        </w:rPr>
        <w:t>Id.</w:t>
      </w:r>
      <w:r>
        <w:rPr>
          <w:rFonts w:cs="Times New Roman PS"/>
          <w:i/>
        </w:rPr>
        <w:t xml:space="preserve"> </w:t>
      </w:r>
      <w:r w:rsidRPr="00E847CF">
        <w:rPr>
          <w:rFonts w:cs="Times New Roman PS"/>
        </w:rPr>
        <w:t>Vesting details vary but typically involve ratable vesting over a period of three to five years following grant.</w:t>
      </w:r>
      <w:r>
        <w:rPr>
          <w:rFonts w:cs="Times New Roman PS"/>
        </w:rPr>
        <w:t xml:space="preserve"> </w:t>
      </w:r>
      <w:r w:rsidRPr="00E847CF">
        <w:rPr>
          <w:rFonts w:cs="Times New Roman PS"/>
          <w:i/>
        </w:rPr>
        <w:t>Id</w:t>
      </w:r>
      <w:r>
        <w:rPr>
          <w:i/>
        </w:rPr>
        <w:t xml:space="preserve">. </w:t>
      </w:r>
      <w:r w:rsidRPr="00E847CF">
        <w:rPr>
          <w:rFonts w:cs="Times New Roman PS"/>
        </w:rPr>
        <w:t xml:space="preserve">I use the term </w:t>
      </w:r>
      <w:r>
        <w:rPr>
          <w:rFonts w:cs="Times New Roman PS"/>
        </w:rPr>
        <w:t>“</w:t>
      </w:r>
      <w:r w:rsidRPr="00E847CF">
        <w:rPr>
          <w:rFonts w:cs="Times New Roman PS"/>
        </w:rPr>
        <w:t>restricted stock</w:t>
      </w:r>
      <w:r>
        <w:rPr>
          <w:rFonts w:cs="Times New Roman PS"/>
        </w:rPr>
        <w:t>”</w:t>
      </w:r>
      <w:r w:rsidRPr="00E847CF">
        <w:rPr>
          <w:rFonts w:cs="Times New Roman PS"/>
        </w:rPr>
        <w:t xml:space="preserve"> in this </w:t>
      </w:r>
      <w:r>
        <w:rPr>
          <w:rFonts w:cs="Times New Roman PS"/>
        </w:rPr>
        <w:t>Article</w:t>
      </w:r>
      <w:r w:rsidRPr="00E847CF">
        <w:rPr>
          <w:rFonts w:cs="Times New Roman PS"/>
        </w:rPr>
        <w:t xml:space="preserve"> to refer both </w:t>
      </w:r>
      <w:r>
        <w:rPr>
          <w:rFonts w:cs="Times New Roman PS"/>
        </w:rPr>
        <w:t xml:space="preserve">to </w:t>
      </w:r>
      <w:r w:rsidRPr="00E847CF">
        <w:rPr>
          <w:rFonts w:cs="Times New Roman PS"/>
        </w:rPr>
        <w:t>conventional restricted stock and RSUs.</w:t>
      </w:r>
    </w:p>
  </w:footnote>
  <w:footnote w:id="52">
    <w:p w14:paraId="613F8204" w14:textId="4845381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David I. Walker, </w:t>
      </w:r>
      <w:r w:rsidRPr="00E847CF">
        <w:rPr>
          <w:rFonts w:cs="Times New Roman PS"/>
          <w:i/>
        </w:rPr>
        <w:t xml:space="preserve">Evolving </w:t>
      </w:r>
      <w:r>
        <w:rPr>
          <w:rFonts w:cs="Times New Roman PS"/>
          <w:i/>
        </w:rPr>
        <w:t>Executive</w:t>
      </w:r>
      <w:r w:rsidRPr="00BB7969">
        <w:rPr>
          <w:rFonts w:cs="Times New Roman PS"/>
          <w:i/>
        </w:rPr>
        <w:t xml:space="preserve"> </w:t>
      </w:r>
      <w:r w:rsidRPr="00E847CF">
        <w:rPr>
          <w:rFonts w:cs="Times New Roman PS"/>
          <w:i/>
        </w:rPr>
        <w:t>Equity Compensation and the Limits of Optimal Contracting</w:t>
      </w:r>
      <w:r w:rsidRPr="00E847CF">
        <w:rPr>
          <w:rFonts w:cs="Times New Roman PS"/>
        </w:rPr>
        <w:t xml:space="preserve">, 64 </w:t>
      </w:r>
      <w:r w:rsidRPr="00E847CF">
        <w:rPr>
          <w:rFonts w:cs="Times New Roman PS"/>
          <w:smallCaps/>
        </w:rPr>
        <w:t>Vand. L. Rev</w:t>
      </w:r>
      <w:r w:rsidRPr="00E847CF">
        <w:rPr>
          <w:rFonts w:cs="Times New Roman PS"/>
        </w:rPr>
        <w:t>. 611, 633 (2011</w:t>
      </w:r>
      <w:r w:rsidRPr="00BB7969">
        <w:rPr>
          <w:rFonts w:cs="Times New Roman PS"/>
        </w:rPr>
        <w:t>)</w:t>
      </w:r>
      <w:r>
        <w:rPr>
          <w:rFonts w:cs="Times New Roman PS"/>
        </w:rPr>
        <w:t>.</w:t>
      </w:r>
    </w:p>
  </w:footnote>
  <w:footnote w:id="53">
    <w:p w14:paraId="5C6BB3CF" w14:textId="2D6BCAD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Level 3 Communications was one exception</w:t>
      </w:r>
      <w:r w:rsidRPr="00BB7969">
        <w:rPr>
          <w:rFonts w:cs="Times New Roman PS"/>
        </w:rPr>
        <w:t>.</w:t>
      </w:r>
      <w:r>
        <w:rPr>
          <w:rFonts w:cs="Times New Roman PS"/>
        </w:rPr>
        <w:t xml:space="preserve"> </w:t>
      </w:r>
      <w:r w:rsidRPr="00E847CF">
        <w:rPr>
          <w:rFonts w:cs="Times New Roman PS"/>
        </w:rPr>
        <w:t>In the 1990s, Level 3 adopted a stock</w:t>
      </w:r>
      <w:r>
        <w:rPr>
          <w:rFonts w:cs="Times New Roman PS"/>
        </w:rPr>
        <w:t>-</w:t>
      </w:r>
      <w:r w:rsidRPr="00E847CF">
        <w:rPr>
          <w:rFonts w:cs="Times New Roman PS"/>
        </w:rPr>
        <w:t>option plan that indexed option</w:t>
      </w:r>
      <w:r>
        <w:rPr>
          <w:rFonts w:cs="Times New Roman PS"/>
        </w:rPr>
        <w:t>-</w:t>
      </w:r>
      <w:r w:rsidRPr="00E847CF">
        <w:rPr>
          <w:rFonts w:cs="Times New Roman PS"/>
        </w:rPr>
        <w:t>exercise prices to variations in the S&amp;P 500.</w:t>
      </w:r>
      <w:r>
        <w:rPr>
          <w:rFonts w:cs="Times New Roman PS"/>
        </w:rPr>
        <w:t xml:space="preserve"> </w:t>
      </w:r>
      <w:r>
        <w:rPr>
          <w:rFonts w:cs="Times New Roman PS"/>
          <w:i/>
        </w:rPr>
        <w:t xml:space="preserve">See </w:t>
      </w:r>
      <w:r w:rsidRPr="00E847CF">
        <w:rPr>
          <w:rFonts w:cs="Times New Roman PS"/>
        </w:rPr>
        <w:t xml:space="preserve">Joann S. Lublin, </w:t>
      </w:r>
      <w:r w:rsidRPr="00E847CF">
        <w:rPr>
          <w:rFonts w:cs="Times New Roman PS"/>
          <w:i/>
        </w:rPr>
        <w:t>Pay for Outperforming: James Crowe, Chief of Level 3 Communications, Makes the Case for Linking Stock Options to Market-Beating Gains</w:t>
      </w:r>
      <w:r w:rsidRPr="00E847CF">
        <w:rPr>
          <w:rFonts w:cs="Times New Roman PS"/>
        </w:rPr>
        <w:t xml:space="preserve">, </w:t>
      </w:r>
      <w:r w:rsidRPr="00E847CF">
        <w:rPr>
          <w:rFonts w:cs="Times New Roman PS"/>
          <w:smallCaps/>
        </w:rPr>
        <w:t xml:space="preserve">Wall </w:t>
      </w:r>
      <w:r>
        <w:rPr>
          <w:rFonts w:cs="Times New Roman PS"/>
          <w:smallCaps/>
        </w:rPr>
        <w:t>Street</w:t>
      </w:r>
      <w:r w:rsidRPr="00E847CF">
        <w:rPr>
          <w:rFonts w:cs="Times New Roman PS"/>
          <w:smallCaps/>
        </w:rPr>
        <w:t xml:space="preserve"> J</w:t>
      </w:r>
      <w:r w:rsidRPr="00E847CF">
        <w:rPr>
          <w:rFonts w:cs="Times New Roman PS"/>
        </w:rPr>
        <w:t>., Apr. 6, 2000</w:t>
      </w:r>
      <w:r>
        <w:rPr>
          <w:rFonts w:cs="Times New Roman PS"/>
        </w:rPr>
        <w:t>, at R8</w:t>
      </w:r>
      <w:r w:rsidRPr="00BB7969">
        <w:rPr>
          <w:rFonts w:cs="Times New Roman PS"/>
        </w:rPr>
        <w:t>.</w:t>
      </w:r>
    </w:p>
  </w:footnote>
  <w:footnote w:id="54">
    <w:p w14:paraId="2ADDFCAB" w14:textId="56D71899"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Holmstrom,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_Ref19706676 \h </w:instrText>
      </w:r>
      <w:r>
        <w:rPr>
          <w:rFonts w:cs="Times New Roman PS"/>
        </w:rPr>
      </w:r>
      <w:r>
        <w:rPr>
          <w:rFonts w:cs="Times New Roman PS"/>
        </w:rPr>
        <w:fldChar w:fldCharType="separate"/>
      </w:r>
      <w:r w:rsidR="005C51FD">
        <w:rPr>
          <w:rFonts w:cs="Times New Roman PS"/>
        </w:rPr>
        <w:t>7</w:t>
      </w:r>
      <w:r>
        <w:rPr>
          <w:rFonts w:cs="Times New Roman PS"/>
        </w:rPr>
        <w:fldChar w:fldCharType="end"/>
      </w:r>
      <w:r>
        <w:rPr>
          <w:rFonts w:cs="Times New Roman PS"/>
        </w:rPr>
        <w:t>, at 334-39.</w:t>
      </w:r>
    </w:p>
  </w:footnote>
  <w:footnote w:id="55">
    <w:p w14:paraId="2132F840" w14:textId="3B4E9B0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Alfred Rappaport, </w:t>
      </w:r>
      <w:r w:rsidRPr="00E847CF">
        <w:rPr>
          <w:rFonts w:cs="Times New Roman PS"/>
          <w:i/>
        </w:rPr>
        <w:t>New Thinking on How to Link Executive Pay with Performance</w:t>
      </w:r>
      <w:r w:rsidRPr="00E847CF">
        <w:rPr>
          <w:rFonts w:cs="Times New Roman PS"/>
        </w:rPr>
        <w:t xml:space="preserve">, </w:t>
      </w:r>
      <w:r w:rsidRPr="00E847CF">
        <w:rPr>
          <w:rFonts w:cs="Times New Roman PS"/>
          <w:smallCaps/>
        </w:rPr>
        <w:t>Harv. Bus. Rev</w:t>
      </w:r>
      <w:r w:rsidRPr="00E847CF">
        <w:rPr>
          <w:rFonts w:cs="Times New Roman PS"/>
        </w:rPr>
        <w:t>.</w:t>
      </w:r>
      <w:r>
        <w:rPr>
          <w:rFonts w:cs="Times New Roman PS"/>
        </w:rPr>
        <w:t>, Mar.-Apr. 1999, at</w:t>
      </w:r>
      <w:r w:rsidRPr="00E847CF">
        <w:rPr>
          <w:rFonts w:cs="Times New Roman PS"/>
        </w:rPr>
        <w:t xml:space="preserve"> 91</w:t>
      </w:r>
      <w:r>
        <w:rPr>
          <w:rFonts w:cs="Times New Roman PS"/>
        </w:rPr>
        <w:t>,</w:t>
      </w:r>
      <w:r w:rsidRPr="00E847CF">
        <w:rPr>
          <w:rFonts w:cs="Times New Roman PS"/>
        </w:rPr>
        <w:t xml:space="preserve"> </w:t>
      </w:r>
      <w:r>
        <w:rPr>
          <w:rFonts w:cs="Times New Roman PS"/>
        </w:rPr>
        <w:t>93-97.</w:t>
      </w:r>
    </w:p>
  </w:footnote>
  <w:footnote w:id="56">
    <w:p w14:paraId="3B6A77B5" w14:textId="2BE990C4"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rPr>
        <w:t>Prior</w:t>
      </w:r>
      <w:r w:rsidRPr="00E847CF">
        <w:rPr>
          <w:rFonts w:cs="Times New Roman PS"/>
        </w:rPr>
        <w:t xml:space="preserve"> to 2006, U.S. financial accounting rules strongly favored the use of conventional, at-the-money stock options over other forms of pay.</w:t>
      </w:r>
      <w:r>
        <w:rPr>
          <w:rFonts w:cs="Times New Roman PS"/>
        </w:rPr>
        <w:t xml:space="preserve"> </w:t>
      </w:r>
      <w:r w:rsidRPr="00BB7969">
        <w:rPr>
          <w:rFonts w:cs="Times New Roman PS"/>
        </w:rPr>
        <w:t xml:space="preserve">Companies were not required to recognize any compensation expense for these options at any time. </w:t>
      </w:r>
      <w:r w:rsidRPr="00E847CF">
        <w:rPr>
          <w:rFonts w:cs="Times New Roman PS"/>
        </w:rPr>
        <w:t>Indexed options, by contrast, had to be expensed</w:t>
      </w:r>
      <w:r>
        <w:rPr>
          <w:rFonts w:cs="Times New Roman PS"/>
        </w:rPr>
        <w:t>,</w:t>
      </w:r>
      <w:r w:rsidRPr="00E847CF">
        <w:rPr>
          <w:rFonts w:cs="Times New Roman PS"/>
        </w:rPr>
        <w:t xml:space="preserve"> and the expense had to be adjusted in each accounting period for fluctuations in share price.</w:t>
      </w:r>
      <w:r>
        <w:rPr>
          <w:rFonts w:cs="Times New Roman PS"/>
        </w:rPr>
        <w:t xml:space="preserve"> </w:t>
      </w:r>
      <w:r w:rsidRPr="006D20A9">
        <w:rPr>
          <w:rFonts w:cs="Times New Roman PS"/>
          <w:i/>
        </w:rPr>
        <w:t>See</w:t>
      </w:r>
      <w:r>
        <w:rPr>
          <w:rFonts w:cs="Times New Roman PS"/>
        </w:rPr>
        <w:t xml:space="preserve"> </w:t>
      </w:r>
      <w:r w:rsidRPr="00BB7969">
        <w:rPr>
          <w:rFonts w:cs="Times New Roman PS"/>
        </w:rPr>
        <w:t xml:space="preserve">Walker, </w:t>
      </w:r>
      <w:r w:rsidRPr="00BB7969">
        <w:rPr>
          <w:rFonts w:cs="Times New Roman PS"/>
          <w:i/>
        </w:rPr>
        <w:t>supra</w:t>
      </w:r>
      <w:r w:rsidRPr="00BB7969">
        <w:rPr>
          <w:rFonts w:cs="Times New Roman PS"/>
        </w:rPr>
        <w:t xml:space="preserve"> note </w:t>
      </w:r>
      <w:r>
        <w:rPr>
          <w:rFonts w:cs="Times New Roman PS"/>
        </w:rPr>
        <w:fldChar w:fldCharType="begin"/>
      </w:r>
      <w:r>
        <w:rPr>
          <w:rFonts w:cs="Times New Roman PS"/>
        </w:rPr>
        <w:instrText xml:space="preserve"> NOTEREF _Ref19724741 \h </w:instrText>
      </w:r>
      <w:r>
        <w:rPr>
          <w:rFonts w:cs="Times New Roman PS"/>
        </w:rPr>
      </w:r>
      <w:r>
        <w:rPr>
          <w:rFonts w:cs="Times New Roman PS"/>
        </w:rPr>
        <w:fldChar w:fldCharType="separate"/>
      </w:r>
      <w:r w:rsidR="005C51FD">
        <w:rPr>
          <w:rFonts w:cs="Times New Roman PS"/>
        </w:rPr>
        <w:t>48</w:t>
      </w:r>
      <w:r>
        <w:rPr>
          <w:rFonts w:cs="Times New Roman PS"/>
        </w:rPr>
        <w:fldChar w:fldCharType="end"/>
      </w:r>
      <w:r w:rsidRPr="00BB7969">
        <w:rPr>
          <w:rFonts w:cs="Times New Roman PS"/>
        </w:rPr>
        <w:t>, at 238</w:t>
      </w:r>
      <w:r>
        <w:rPr>
          <w:rFonts w:cs="Times New Roman PS"/>
        </w:rPr>
        <w:t xml:space="preserve">. </w:t>
      </w:r>
      <w:r w:rsidRPr="00E847CF">
        <w:rPr>
          <w:rFonts w:cs="Times New Roman PS"/>
        </w:rPr>
        <w:t>Although the accounting rules for equity-based pay were rationalized beginning in 2006, § 409A of the Internal Revenue Code, which was enacted in 2004, essentially precludes the issuance of indexed options today by imposing a 20% penalty tax on the income arising from such options.</w:t>
      </w:r>
      <w:r>
        <w:rPr>
          <w:rFonts w:cs="Times New Roman PS"/>
        </w:rPr>
        <w:t xml:space="preserve"> </w:t>
      </w:r>
      <w:r>
        <w:rPr>
          <w:rFonts w:cs="Times New Roman PS"/>
          <w:i/>
        </w:rPr>
        <w:t xml:space="preserve">See id. </w:t>
      </w:r>
      <w:r w:rsidRPr="000748FB">
        <w:rPr>
          <w:rFonts w:cs="Times New Roman PS"/>
        </w:rPr>
        <w:t>at 239-40.</w:t>
      </w:r>
    </w:p>
  </w:footnote>
  <w:footnote w:id="57">
    <w:p w14:paraId="7E7F2707" w14:textId="181176B9" w:rsidR="00051004" w:rsidRPr="002975E1" w:rsidRDefault="00051004" w:rsidP="00CA4996">
      <w:pPr>
        <w:pStyle w:val="Document"/>
        <w:ind w:firstLine="0"/>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i/>
          <w:sz w:val="18"/>
          <w:szCs w:val="18"/>
        </w:rPr>
        <w:fldChar w:fldCharType="begin"/>
      </w:r>
      <w:r>
        <w:rPr>
          <w:rFonts w:cs="Times New Roman PS"/>
          <w:i/>
          <w:sz w:val="18"/>
          <w:szCs w:val="18"/>
        </w:rPr>
        <w:instrText xml:space="preserve"> ADVANCE \r4 \* MERGEFORMAT </w:instrText>
      </w:r>
      <w:r>
        <w:rPr>
          <w:rFonts w:cs="Times New Roman PS"/>
          <w:i/>
          <w:sz w:val="18"/>
          <w:szCs w:val="18"/>
        </w:rPr>
        <w:fldChar w:fldCharType="end"/>
      </w:r>
      <w:r w:rsidRPr="006D20A9">
        <w:rPr>
          <w:rFonts w:cs="Times New Roman PS"/>
          <w:i/>
          <w:sz w:val="18"/>
          <w:szCs w:val="18"/>
        </w:rPr>
        <w:t xml:space="preserve">See </w:t>
      </w:r>
      <w:r w:rsidRPr="006D20A9">
        <w:rPr>
          <w:rFonts w:cs="Times New Roman PS"/>
          <w:sz w:val="18"/>
          <w:szCs w:val="18"/>
        </w:rPr>
        <w:t xml:space="preserve">Walker, </w:t>
      </w:r>
      <w:r w:rsidRPr="00EA0C86">
        <w:rPr>
          <w:rFonts w:cs="Times New Roman PS"/>
          <w:i/>
          <w:sz w:val="18"/>
          <w:szCs w:val="18"/>
        </w:rPr>
        <w:t>supra</w:t>
      </w:r>
      <w:r w:rsidRPr="006D20A9">
        <w:rPr>
          <w:rFonts w:cs="Times New Roman PS"/>
          <w:sz w:val="18"/>
          <w:szCs w:val="18"/>
        </w:rPr>
        <w:t xml:space="preserve"> note </w:t>
      </w:r>
      <w:r w:rsidRPr="006D20A9">
        <w:rPr>
          <w:rFonts w:cs="Times New Roman PS"/>
          <w:sz w:val="18"/>
          <w:szCs w:val="18"/>
        </w:rPr>
        <w:fldChar w:fldCharType="begin"/>
      </w:r>
      <w:r w:rsidRPr="006D20A9">
        <w:rPr>
          <w:rFonts w:cs="Times New Roman PS"/>
          <w:sz w:val="18"/>
          <w:szCs w:val="18"/>
        </w:rPr>
        <w:instrText xml:space="preserve"> NOTEREF _Ref21080132 \h </w:instrText>
      </w:r>
      <w:r>
        <w:rPr>
          <w:rFonts w:cs="Times New Roman PS"/>
          <w:sz w:val="18"/>
          <w:szCs w:val="18"/>
        </w:rPr>
        <w:instrText xml:space="preserve"> \* MERGEFORMAT </w:instrText>
      </w:r>
      <w:r w:rsidRPr="006D20A9">
        <w:rPr>
          <w:rFonts w:cs="Times New Roman PS"/>
          <w:sz w:val="18"/>
          <w:szCs w:val="18"/>
        </w:rPr>
      </w:r>
      <w:r w:rsidRPr="006D20A9">
        <w:rPr>
          <w:rFonts w:cs="Times New Roman PS"/>
          <w:sz w:val="18"/>
          <w:szCs w:val="18"/>
        </w:rPr>
        <w:fldChar w:fldCharType="separate"/>
      </w:r>
      <w:r w:rsidR="005C51FD">
        <w:rPr>
          <w:rFonts w:cs="Times New Roman PS"/>
          <w:sz w:val="18"/>
          <w:szCs w:val="18"/>
        </w:rPr>
        <w:t>43</w:t>
      </w:r>
      <w:r w:rsidRPr="006D20A9">
        <w:rPr>
          <w:rFonts w:cs="Times New Roman PS"/>
          <w:sz w:val="18"/>
          <w:szCs w:val="18"/>
        </w:rPr>
        <w:fldChar w:fldCharType="end"/>
      </w:r>
      <w:r w:rsidRPr="006D20A9">
        <w:rPr>
          <w:rFonts w:cs="Times New Roman PS"/>
          <w:sz w:val="18"/>
          <w:szCs w:val="18"/>
        </w:rPr>
        <w:t>, at 405.</w:t>
      </w:r>
    </w:p>
  </w:footnote>
  <w:footnote w:id="58">
    <w:p w14:paraId="6F09344C" w14:textId="16E1D7C1"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Rick Antle &amp; Abbie Smith, </w:t>
      </w:r>
      <w:r w:rsidRPr="00E847CF">
        <w:rPr>
          <w:rFonts w:cs="Times New Roman PS"/>
          <w:i/>
        </w:rPr>
        <w:t>An Empirical Investigation of the Relative Performance Evaluation of Corporate Executives</w:t>
      </w:r>
      <w:r w:rsidRPr="00E847CF">
        <w:rPr>
          <w:rFonts w:cs="Times New Roman PS"/>
        </w:rPr>
        <w:t>, 24 J</w:t>
      </w:r>
      <w:r w:rsidRPr="00E847CF">
        <w:rPr>
          <w:rFonts w:cs="Times New Roman PS"/>
          <w:smallCaps/>
        </w:rPr>
        <w:t>. Acct. Res</w:t>
      </w:r>
      <w:r w:rsidRPr="00E847CF">
        <w:rPr>
          <w:rFonts w:cs="Times New Roman PS"/>
        </w:rPr>
        <w:t xml:space="preserve">. 1, 3 (1986) (finding some evidence of RPE at </w:t>
      </w:r>
      <w:r>
        <w:rPr>
          <w:rFonts w:cs="Times New Roman PS"/>
        </w:rPr>
        <w:t>sixteen</w:t>
      </w:r>
      <w:r w:rsidRPr="00E847CF">
        <w:rPr>
          <w:rFonts w:cs="Times New Roman PS"/>
        </w:rPr>
        <w:t xml:space="preserve"> of </w:t>
      </w:r>
      <w:r>
        <w:rPr>
          <w:rFonts w:cs="Times New Roman PS"/>
        </w:rPr>
        <w:t>thirty-nine</w:t>
      </w:r>
      <w:r w:rsidRPr="00E847CF">
        <w:rPr>
          <w:rFonts w:cs="Times New Roman PS"/>
        </w:rPr>
        <w:t xml:space="preserve"> companies and describing their results as </w:t>
      </w:r>
      <w:r>
        <w:rPr>
          <w:rFonts w:cs="Times New Roman PS"/>
        </w:rPr>
        <w:t>“</w:t>
      </w:r>
      <w:r w:rsidRPr="00E847CF">
        <w:rPr>
          <w:rFonts w:cs="Times New Roman PS"/>
        </w:rPr>
        <w:t>mixed</w:t>
      </w:r>
      <w:r>
        <w:rPr>
          <w:rFonts w:cs="Times New Roman PS"/>
        </w:rPr>
        <w:t>”</w:t>
      </w:r>
      <w:r w:rsidRPr="00E847CF">
        <w:rPr>
          <w:rFonts w:cs="Times New Roman PS"/>
        </w:rPr>
        <w:t>).</w:t>
      </w:r>
    </w:p>
  </w:footnote>
  <w:footnote w:id="59">
    <w:p w14:paraId="4F283215" w14:textId="14764B6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Robert Gibbons &amp; Kevin J. Murphy, </w:t>
      </w:r>
      <w:r w:rsidRPr="00E847CF">
        <w:rPr>
          <w:rFonts w:cs="Times New Roman PS"/>
          <w:i/>
        </w:rPr>
        <w:t>Relative Performance Evaluation for Chief Executive Officers</w:t>
      </w:r>
      <w:r w:rsidRPr="00E847CF">
        <w:rPr>
          <w:rFonts w:cs="Times New Roman PS"/>
        </w:rPr>
        <w:t xml:space="preserve">, 43 </w:t>
      </w:r>
      <w:r w:rsidRPr="00E847CF">
        <w:rPr>
          <w:rFonts w:cs="Times New Roman PS"/>
          <w:smallCaps/>
        </w:rPr>
        <w:t>Indus. &amp; Lab</w:t>
      </w:r>
      <w:r>
        <w:rPr>
          <w:rFonts w:cs="Times New Roman PS"/>
          <w:smallCaps/>
        </w:rPr>
        <w:t>.</w:t>
      </w:r>
      <w:r w:rsidRPr="00E847CF">
        <w:rPr>
          <w:rFonts w:cs="Times New Roman PS"/>
          <w:smallCaps/>
        </w:rPr>
        <w:t xml:space="preserve"> </w:t>
      </w:r>
      <w:r>
        <w:rPr>
          <w:rFonts w:cs="Times New Roman PS"/>
          <w:smallCaps/>
        </w:rPr>
        <w:t xml:space="preserve">Rel. </w:t>
      </w:r>
      <w:r w:rsidRPr="00E847CF">
        <w:rPr>
          <w:rFonts w:cs="Times New Roman PS"/>
          <w:smallCaps/>
        </w:rPr>
        <w:t>Rev</w:t>
      </w:r>
      <w:r w:rsidRPr="00E847CF">
        <w:rPr>
          <w:rFonts w:cs="Times New Roman PS"/>
        </w:rPr>
        <w:t>.</w:t>
      </w:r>
      <w:r>
        <w:rPr>
          <w:rFonts w:cs="Times New Roman PS"/>
        </w:rPr>
        <w:t xml:space="preserve"> </w:t>
      </w:r>
      <w:r w:rsidRPr="006D20A9">
        <w:rPr>
          <w:rFonts w:cs="Times New Roman PS"/>
          <w:smallCaps/>
        </w:rPr>
        <w:t xml:space="preserve">(Special Issue) </w:t>
      </w:r>
      <w:r w:rsidRPr="00E847CF">
        <w:rPr>
          <w:rFonts w:cs="Times New Roman PS"/>
        </w:rPr>
        <w:t>30-S</w:t>
      </w:r>
      <w:r>
        <w:rPr>
          <w:rFonts w:cs="Times New Roman PS"/>
        </w:rPr>
        <w:t>, 38-S</w:t>
      </w:r>
      <w:r w:rsidRPr="00E847CF">
        <w:rPr>
          <w:rFonts w:cs="Times New Roman PS"/>
        </w:rPr>
        <w:t xml:space="preserve"> (1990)</w:t>
      </w:r>
      <w:r>
        <w:rPr>
          <w:rFonts w:cs="Times New Roman PS"/>
        </w:rPr>
        <w:t xml:space="preserve">. </w:t>
      </w:r>
      <w:r w:rsidRPr="00E847CF">
        <w:rPr>
          <w:rFonts w:cs="Times New Roman PS"/>
        </w:rPr>
        <w:t xml:space="preserve">As discussed </w:t>
      </w:r>
      <w:r w:rsidRPr="00E847CF">
        <w:rPr>
          <w:rFonts w:cs="Times New Roman PS"/>
          <w:i/>
        </w:rPr>
        <w:t>supra</w:t>
      </w:r>
      <w:r w:rsidRPr="00E847CF">
        <w:rPr>
          <w:rFonts w:cs="Times New Roman PS"/>
        </w:rPr>
        <w:t xml:space="preserve"> </w:t>
      </w:r>
      <w:r>
        <w:rPr>
          <w:rFonts w:cs="Times New Roman PS"/>
        </w:rPr>
        <w:t>Section</w:t>
      </w:r>
      <w:r w:rsidRPr="00E847CF">
        <w:rPr>
          <w:rFonts w:cs="Times New Roman PS"/>
        </w:rPr>
        <w:t xml:space="preserve"> II.A, benchmarking against broad market movements is less likely to encourage competition than benchmarking against a select group of peer companies.</w:t>
      </w:r>
    </w:p>
  </w:footnote>
  <w:footnote w:id="60">
    <w:p w14:paraId="54162DD0" w14:textId="3BC84D1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John E. </w:t>
      </w:r>
      <w:r w:rsidRPr="009700FF">
        <w:rPr>
          <w:rFonts w:cs="Times New Roman PS"/>
        </w:rPr>
        <w:t>Core, Wayne R. Guay &amp; David F. Larcker</w:t>
      </w:r>
      <w:r w:rsidRPr="00E847CF">
        <w:rPr>
          <w:rFonts w:cs="Times New Roman PS"/>
        </w:rPr>
        <w:t xml:space="preserve">, </w:t>
      </w:r>
      <w:r w:rsidRPr="00E847CF">
        <w:rPr>
          <w:rFonts w:cs="Times New Roman PS"/>
          <w:i/>
        </w:rPr>
        <w:t>Executive Equity Compensation and Incentives: A Survey</w:t>
      </w:r>
      <w:r w:rsidRPr="00E847CF">
        <w:rPr>
          <w:rFonts w:cs="Times New Roman PS"/>
        </w:rPr>
        <w:t xml:space="preserve">, </w:t>
      </w:r>
      <w:r w:rsidRPr="006D20A9">
        <w:rPr>
          <w:rFonts w:cs="Times New Roman PS"/>
          <w:smallCaps/>
        </w:rPr>
        <w:t>Fed. Res. Bank N</w:t>
      </w:r>
      <w:r>
        <w:rPr>
          <w:rFonts w:cs="Times New Roman PS"/>
          <w:smallCaps/>
        </w:rPr>
        <w:t xml:space="preserve">.Y. </w:t>
      </w:r>
      <w:r w:rsidRPr="00E847CF">
        <w:rPr>
          <w:rFonts w:cs="Times New Roman PS"/>
          <w:smallCaps/>
        </w:rPr>
        <w:t>Econ. Pol. Rev</w:t>
      </w:r>
      <w:r w:rsidRPr="00E847CF">
        <w:rPr>
          <w:rFonts w:cs="Times New Roman PS"/>
        </w:rPr>
        <w:t>.</w:t>
      </w:r>
      <w:r>
        <w:rPr>
          <w:rFonts w:cs="Times New Roman PS"/>
        </w:rPr>
        <w:t>, Apr. 2003, at</w:t>
      </w:r>
      <w:r w:rsidRPr="00E847CF">
        <w:rPr>
          <w:rFonts w:cs="Times New Roman PS"/>
        </w:rPr>
        <w:t xml:space="preserve"> 27, 38.</w:t>
      </w:r>
    </w:p>
  </w:footnote>
  <w:footnote w:id="61">
    <w:p w14:paraId="71E86AC3" w14:textId="4CF6EA24"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 xml:space="preserve">See </w:t>
      </w:r>
      <w:r>
        <w:rPr>
          <w:rFonts w:cs="Times New Roman PS"/>
        </w:rPr>
        <w:t xml:space="preserve">Walker, </w:t>
      </w:r>
      <w:r w:rsidRPr="00845A00">
        <w:rPr>
          <w:rFonts w:cs="Times New Roman PS"/>
          <w:i/>
        </w:rPr>
        <w:t>supra</w:t>
      </w:r>
      <w:r>
        <w:rPr>
          <w:rFonts w:cs="Times New Roman PS"/>
        </w:rPr>
        <w:t xml:space="preserve"> note </w:t>
      </w:r>
      <w:r>
        <w:rPr>
          <w:rFonts w:cs="Times New Roman PS"/>
        </w:rPr>
        <w:fldChar w:fldCharType="begin"/>
      </w:r>
      <w:r>
        <w:rPr>
          <w:rFonts w:cs="Times New Roman PS"/>
        </w:rPr>
        <w:instrText xml:space="preserve"> NOTEREF _Ref21080132 \h </w:instrText>
      </w:r>
      <w:r>
        <w:rPr>
          <w:rFonts w:cs="Times New Roman PS"/>
        </w:rPr>
      </w:r>
      <w:r>
        <w:rPr>
          <w:rFonts w:cs="Times New Roman PS"/>
        </w:rPr>
        <w:fldChar w:fldCharType="separate"/>
      </w:r>
      <w:r w:rsidR="005C51FD">
        <w:rPr>
          <w:rFonts w:cs="Times New Roman PS"/>
        </w:rPr>
        <w:t>43</w:t>
      </w:r>
      <w:r>
        <w:rPr>
          <w:rFonts w:cs="Times New Roman PS"/>
        </w:rPr>
        <w:fldChar w:fldCharType="end"/>
      </w:r>
      <w:r>
        <w:rPr>
          <w:rFonts w:cs="Times New Roman PS"/>
        </w:rPr>
        <w:t>, at 405 (noting that performance-based equity pay increased by 350% between 2001 and 2012)</w:t>
      </w:r>
      <w:r w:rsidRPr="00E847CF">
        <w:rPr>
          <w:rFonts w:cs="Times New Roman PS"/>
        </w:rPr>
        <w:t>.</w:t>
      </w:r>
    </w:p>
  </w:footnote>
  <w:footnote w:id="62">
    <w:p w14:paraId="7C54B1BF" w14:textId="49B87A6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J. Carr Bettis et al</w:t>
      </w:r>
      <w:r>
        <w:rPr>
          <w:rFonts w:cs="Times New Roman PS"/>
        </w:rPr>
        <w:t>.</w:t>
      </w:r>
      <w:r w:rsidRPr="00E847CF">
        <w:rPr>
          <w:rFonts w:cs="Times New Roman PS"/>
        </w:rPr>
        <w:t xml:space="preserve">, </w:t>
      </w:r>
      <w:r w:rsidRPr="00E847CF">
        <w:rPr>
          <w:rFonts w:cs="Times New Roman PS"/>
          <w:i/>
        </w:rPr>
        <w:t>Performance-Vesting Provisions in Executive Compensation</w:t>
      </w:r>
      <w:r w:rsidRPr="00E847CF">
        <w:rPr>
          <w:rFonts w:cs="Times New Roman PS"/>
        </w:rPr>
        <w:t xml:space="preserve">, 66 </w:t>
      </w:r>
      <w:r w:rsidRPr="00E847CF">
        <w:rPr>
          <w:rFonts w:cs="Times New Roman PS"/>
          <w:smallCaps/>
        </w:rPr>
        <w:t>J. Acct. &amp; Econ</w:t>
      </w:r>
      <w:r>
        <w:rPr>
          <w:rFonts w:cs="Times New Roman PS"/>
          <w:smallCaps/>
        </w:rPr>
        <w:t>.</w:t>
      </w:r>
      <w:r w:rsidRPr="00E847CF">
        <w:rPr>
          <w:rFonts w:cs="Times New Roman PS"/>
        </w:rPr>
        <w:t xml:space="preserve"> 194</w:t>
      </w:r>
      <w:r>
        <w:rPr>
          <w:rFonts w:cs="Times New Roman PS"/>
        </w:rPr>
        <w:t>, 197</w:t>
      </w:r>
      <w:r w:rsidRPr="00E847CF">
        <w:rPr>
          <w:rFonts w:cs="Times New Roman PS"/>
        </w:rPr>
        <w:t xml:space="preserve"> (2018) (analyzing compensation at </w:t>
      </w:r>
      <w:r>
        <w:rPr>
          <w:rFonts w:cs="Times New Roman PS"/>
        </w:rPr>
        <w:t>1000</w:t>
      </w:r>
      <w:r w:rsidRPr="00E847CF">
        <w:rPr>
          <w:rFonts w:cs="Times New Roman PS"/>
        </w:rPr>
        <w:t xml:space="preserve"> large companies and finding that 97% of companies utilizing performance-based equity pay issued performance shares while only 8% issued performance-based options).</w:t>
      </w:r>
      <w:r>
        <w:rPr>
          <w:rFonts w:cs="Times New Roman PS"/>
        </w:rPr>
        <w:t xml:space="preserve"> </w:t>
      </w:r>
      <w:r w:rsidRPr="00E847CF">
        <w:rPr>
          <w:rFonts w:cs="Times New Roman PS"/>
        </w:rPr>
        <w:t>To be clear, performance-based options are not options with indexed exercise prices but are options that vest on the achievement of performance thresholds as well as time.</w:t>
      </w:r>
    </w:p>
  </w:footnote>
  <w:footnote w:id="63">
    <w:p w14:paraId="5833F6C7" w14:textId="7705AD9F"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w:t>
      </w:r>
      <w:r w:rsidRPr="006D20A9">
        <w:rPr>
          <w:smallCaps/>
        </w:rPr>
        <w:t>FW Cook</w:t>
      </w:r>
      <w:r w:rsidRPr="00E847CF">
        <w:rPr>
          <w:rFonts w:cs="Times New Roman PS"/>
        </w:rPr>
        <w:t xml:space="preserve">, </w:t>
      </w:r>
      <w:r w:rsidRPr="006D20A9">
        <w:rPr>
          <w:smallCaps/>
        </w:rPr>
        <w:t xml:space="preserve">2018 Top 250 Report </w:t>
      </w:r>
      <w:r>
        <w:rPr>
          <w:rFonts w:cs="Times New Roman PS"/>
          <w:smallCaps/>
        </w:rPr>
        <w:t xml:space="preserve">17 (2018), </w:t>
      </w:r>
      <w:r w:rsidRPr="006D20A9">
        <w:rPr>
          <w:rFonts w:cs="Times New Roman PS"/>
        </w:rPr>
        <w:t>https://www.fwcook.com/content</w:t>
      </w:r>
      <w:r>
        <w:rPr>
          <w:rFonts w:cs="Times New Roman PS"/>
        </w:rPr>
        <w:br/>
      </w:r>
      <w:r w:rsidRPr="006D20A9">
        <w:rPr>
          <w:rFonts w:cs="Times New Roman PS"/>
        </w:rPr>
        <w:t>/documents/Publications/11-7</w:t>
      </w:r>
      <w:r>
        <w:rPr>
          <w:rFonts w:cs="Times New Roman PS"/>
        </w:rPr>
        <w:t>-</w:t>
      </w:r>
      <w:r w:rsidRPr="006D20A9">
        <w:rPr>
          <w:rFonts w:cs="Times New Roman PS"/>
        </w:rPr>
        <w:t>18_FWC_2018_Top_250_Final.pdf</w:t>
      </w:r>
      <w:r>
        <w:rPr>
          <w:rFonts w:cs="Times New Roman PS"/>
        </w:rPr>
        <w:t xml:space="preserve"> [https://perma.cc/W5DZ-HPW4] </w:t>
      </w:r>
      <w:r w:rsidRPr="00175AA8">
        <w:rPr>
          <w:rFonts w:cs="Times New Roman PS"/>
        </w:rPr>
        <w:t>(</w:t>
      </w:r>
      <w:r>
        <w:rPr>
          <w:rFonts w:cs="Times New Roman PS"/>
        </w:rPr>
        <w:t xml:space="preserve">showing that </w:t>
      </w:r>
      <w:r w:rsidRPr="00E847CF">
        <w:rPr>
          <w:rFonts w:cs="Times New Roman PS"/>
        </w:rPr>
        <w:t>91% of surveyed companies reported measuring performance over a three</w:t>
      </w:r>
      <w:r>
        <w:rPr>
          <w:rFonts w:cs="Times New Roman PS"/>
        </w:rPr>
        <w:t>-</w:t>
      </w:r>
      <w:r w:rsidRPr="00E847CF">
        <w:rPr>
          <w:rFonts w:cs="Times New Roman PS"/>
        </w:rPr>
        <w:t>year period).</w:t>
      </w:r>
      <w:r>
        <w:rPr>
          <w:rFonts w:cs="Times New Roman PS"/>
        </w:rPr>
        <w:t xml:space="preserve"> </w:t>
      </w:r>
      <w:r w:rsidRPr="00E847CF">
        <w:rPr>
          <w:rFonts w:cs="Times New Roman PS"/>
        </w:rPr>
        <w:t>Although most plans provide for threshold, target, and maximum performance targets, the number of shares delivered is generally a continuous function with interpolation between these discrete targets.</w:t>
      </w:r>
      <w:r>
        <w:rPr>
          <w:rFonts w:cs="Times New Roman PS"/>
        </w:rPr>
        <w:t xml:space="preserve"> </w:t>
      </w:r>
      <w:r>
        <w:rPr>
          <w:rFonts w:cs="Times New Roman PS"/>
          <w:i/>
        </w:rPr>
        <w:t xml:space="preserve">See </w:t>
      </w:r>
      <w:r w:rsidRPr="00E847CF">
        <w:rPr>
          <w:rFonts w:cs="Times New Roman PS"/>
        </w:rPr>
        <w:t xml:space="preserve">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_Ref21080132 \h </w:instrText>
      </w:r>
      <w:r>
        <w:rPr>
          <w:rFonts w:cs="Times New Roman PS"/>
        </w:rPr>
      </w:r>
      <w:r>
        <w:rPr>
          <w:rFonts w:cs="Times New Roman PS"/>
        </w:rPr>
        <w:fldChar w:fldCharType="separate"/>
      </w:r>
      <w:r w:rsidR="005C51FD">
        <w:rPr>
          <w:rFonts w:cs="Times New Roman PS"/>
        </w:rPr>
        <w:t>43</w:t>
      </w:r>
      <w:r>
        <w:rPr>
          <w:rFonts w:cs="Times New Roman PS"/>
        </w:rPr>
        <w:fldChar w:fldCharType="end"/>
      </w:r>
      <w:r w:rsidRPr="00E847CF">
        <w:rPr>
          <w:rFonts w:cs="Times New Roman PS"/>
        </w:rPr>
        <w:t>, at 412</w:t>
      </w:r>
      <w:r w:rsidRPr="00C8512A">
        <w:rPr>
          <w:rFonts w:cs="Times New Roman PS"/>
        </w:rPr>
        <w:t>.</w:t>
      </w:r>
    </w:p>
  </w:footnote>
  <w:footnote w:id="64">
    <w:p w14:paraId="5C8F1D03" w14:textId="274E8341"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Bettis et al</w:t>
      </w:r>
      <w:r>
        <w:rPr>
          <w:rFonts w:cs="Times New Roman PS"/>
        </w:rPr>
        <w:t>.</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_Ref19690467 \h </w:instrText>
      </w:r>
      <w:r>
        <w:rPr>
          <w:rFonts w:cs="Times New Roman PS"/>
        </w:rPr>
      </w:r>
      <w:r>
        <w:rPr>
          <w:rFonts w:cs="Times New Roman PS"/>
        </w:rPr>
        <w:fldChar w:fldCharType="separate"/>
      </w:r>
      <w:r w:rsidR="005C51FD">
        <w:rPr>
          <w:rFonts w:cs="Times New Roman PS"/>
        </w:rPr>
        <w:t>60</w:t>
      </w:r>
      <w:r>
        <w:rPr>
          <w:rFonts w:cs="Times New Roman PS"/>
        </w:rPr>
        <w:fldChar w:fldCharType="end"/>
      </w:r>
      <w:r w:rsidRPr="00E847CF">
        <w:rPr>
          <w:rFonts w:cs="Times New Roman PS"/>
        </w:rPr>
        <w:t>, at 198.</w:t>
      </w:r>
    </w:p>
  </w:footnote>
  <w:footnote w:id="65">
    <w:p w14:paraId="7958EB6E" w14:textId="2D4FF64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Total shareholder return is the sum of share price appreciation and dividends paid per share over some period, expressed as a percentage of share price at the beginning of the period</w:t>
      </w:r>
      <w:r>
        <w:rPr>
          <w:rFonts w:cs="Times New Roman PS"/>
        </w:rPr>
        <w:t xml:space="preserve">. </w:t>
      </w:r>
      <w:r>
        <w:rPr>
          <w:rFonts w:cs="Times New Roman PS"/>
          <w:i/>
        </w:rPr>
        <w:t>Total Shareholder Return (TSR)</w:t>
      </w:r>
      <w:r>
        <w:rPr>
          <w:rFonts w:cs="Times New Roman PS"/>
        </w:rPr>
        <w:t xml:space="preserve">, </w:t>
      </w:r>
      <w:r w:rsidRPr="006D20A9">
        <w:rPr>
          <w:rFonts w:cs="Times New Roman PS"/>
          <w:smallCaps/>
        </w:rPr>
        <w:t>Investopedia</w:t>
      </w:r>
      <w:r>
        <w:rPr>
          <w:rFonts w:cs="Times New Roman PS"/>
        </w:rPr>
        <w:t xml:space="preserve">, </w:t>
      </w:r>
      <w:r w:rsidRPr="006D20A9">
        <w:t>https://www.investopedia.com/terms/t</w:t>
      </w:r>
      <w:r>
        <w:br/>
      </w:r>
      <w:r w:rsidRPr="006D20A9">
        <w:t>/tsr.asp</w:t>
      </w:r>
      <w:r>
        <w:rPr>
          <w:rFonts w:cs="Times New Roman PS"/>
        </w:rPr>
        <w:t xml:space="preserve"> [https://perma.cc/NC9W-2L8Y] (last updated June 25, 2019).</w:t>
      </w:r>
    </w:p>
  </w:footnote>
  <w:footnote w:id="66">
    <w:p w14:paraId="634CD804" w14:textId="5961749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Bettis et al</w:t>
      </w:r>
      <w:r>
        <w:rPr>
          <w:rFonts w:cs="Times New Roman PS"/>
        </w:rPr>
        <w:t>.</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_Ref19690467 \h </w:instrText>
      </w:r>
      <w:r>
        <w:rPr>
          <w:rFonts w:cs="Times New Roman PS"/>
        </w:rPr>
      </w:r>
      <w:r>
        <w:rPr>
          <w:rFonts w:cs="Times New Roman PS"/>
        </w:rPr>
        <w:fldChar w:fldCharType="separate"/>
      </w:r>
      <w:r w:rsidR="005C51FD">
        <w:rPr>
          <w:rFonts w:cs="Times New Roman PS"/>
        </w:rPr>
        <w:t>60</w:t>
      </w:r>
      <w:r>
        <w:rPr>
          <w:rFonts w:cs="Times New Roman PS"/>
        </w:rPr>
        <w:fldChar w:fldCharType="end"/>
      </w:r>
      <w:r w:rsidRPr="00E847CF">
        <w:rPr>
          <w:rFonts w:cs="Times New Roman PS"/>
        </w:rPr>
        <w:t>, at 200.</w:t>
      </w:r>
    </w:p>
  </w:footnote>
  <w:footnote w:id="67">
    <w:p w14:paraId="1607F170" w14:textId="0E5EDB7B"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John Bizjak et al</w:t>
      </w:r>
      <w:r>
        <w:rPr>
          <w:rFonts w:cs="Times New Roman PS"/>
        </w:rPr>
        <w:t>.</w:t>
      </w:r>
      <w:r w:rsidRPr="00E847CF">
        <w:rPr>
          <w:rFonts w:cs="Times New Roman PS"/>
        </w:rPr>
        <w:t xml:space="preserve">, </w:t>
      </w:r>
      <w:r w:rsidRPr="006D20A9">
        <w:rPr>
          <w:rFonts w:cs="Times New Roman PS"/>
        </w:rPr>
        <w:t>The Role of Peer Firm Selection in Explicit Relative Performance Awards</w:t>
      </w:r>
      <w:r w:rsidRPr="00E847CF">
        <w:rPr>
          <w:rFonts w:cs="Times New Roman PS"/>
        </w:rPr>
        <w:t xml:space="preserve"> 15 </w:t>
      </w:r>
      <w:r>
        <w:rPr>
          <w:rFonts w:cs="Times New Roman PS"/>
        </w:rPr>
        <w:t xml:space="preserve">(Apr. 6, 2019) (unpublished manuscript), </w:t>
      </w:r>
      <w:r w:rsidRPr="006D20A9">
        <w:t>https://papers.ssrn.com/sol3</w:t>
      </w:r>
      <w:r>
        <w:br/>
      </w:r>
      <w:r w:rsidRPr="006D20A9">
        <w:t>/papers.cfm?abstract_id=2833309</w:t>
      </w:r>
      <w:r>
        <w:rPr>
          <w:rFonts w:cs="Times New Roman PS"/>
        </w:rPr>
        <w:t xml:space="preserve"> [</w:t>
      </w:r>
      <w:r w:rsidRPr="00DF601C">
        <w:rPr>
          <w:rFonts w:cs="Times New Roman PS"/>
        </w:rPr>
        <w:t>https://perma.cc/8VE3-TRZZ</w:t>
      </w:r>
      <w:r>
        <w:rPr>
          <w:rFonts w:cs="Times New Roman PS"/>
        </w:rPr>
        <w:t>].</w:t>
      </w:r>
    </w:p>
  </w:footnote>
  <w:footnote w:id="68">
    <w:p w14:paraId="49C62350" w14:textId="67005D7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rPr>
        <w:t>Press Release, Tracy Kurschner, Pub. Relations Manager, Korn Ferry</w:t>
      </w:r>
      <w:r w:rsidRPr="00E847CF">
        <w:rPr>
          <w:rFonts w:cs="Times New Roman PS"/>
        </w:rPr>
        <w:t xml:space="preserve">, </w:t>
      </w:r>
      <w:r w:rsidRPr="006D20A9">
        <w:t xml:space="preserve">Cash </w:t>
      </w:r>
      <w:r>
        <w:t>I</w:t>
      </w:r>
      <w:r w:rsidRPr="006D20A9">
        <w:t>s Not King</w:t>
      </w:r>
      <w:r>
        <w:rPr>
          <w:rFonts w:cs="Times New Roman PS"/>
        </w:rPr>
        <w:t>—</w:t>
      </w:r>
      <w:r w:rsidRPr="006D20A9">
        <w:t xml:space="preserve">CEO Annual Pay Raises Hit New Low with Smallest Increase in </w:t>
      </w:r>
      <w:r>
        <w:t>6</w:t>
      </w:r>
      <w:r w:rsidRPr="006D20A9">
        <w:t xml:space="preserve"> Years</w:t>
      </w:r>
      <w:r>
        <w:rPr>
          <w:rFonts w:cs="Times New Roman PS"/>
        </w:rPr>
        <w:t xml:space="preserve"> (May 4, 2017)</w:t>
      </w:r>
      <w:r w:rsidRPr="00E847CF">
        <w:rPr>
          <w:rFonts w:cs="Times New Roman PS"/>
        </w:rPr>
        <w:t>, https://ir.kornferry.com/news-releases/news-release-details/cash-not-king-ceo-annual</w:t>
      </w:r>
      <w:r>
        <w:rPr>
          <w:rFonts w:cs="Times New Roman PS"/>
        </w:rPr>
        <w:br/>
      </w:r>
      <w:r w:rsidRPr="00E847CF">
        <w:rPr>
          <w:rFonts w:cs="Times New Roman PS"/>
        </w:rPr>
        <w:t>-pay-raises-hit-new-low-smallest</w:t>
      </w:r>
      <w:r>
        <w:rPr>
          <w:rFonts w:cs="Times New Roman PS"/>
        </w:rPr>
        <w:t xml:space="preserve"> [https://perma.cc/M8BB-VXS7]; </w:t>
      </w:r>
      <w:r w:rsidRPr="002561C5">
        <w:rPr>
          <w:rFonts w:cs="Times New Roman PS"/>
          <w:i/>
        </w:rPr>
        <w:t>see</w:t>
      </w:r>
      <w:r w:rsidRPr="00E847CF">
        <w:rPr>
          <w:rFonts w:cs="Times New Roman PS"/>
        </w:rPr>
        <w:t xml:space="preserve"> </w:t>
      </w:r>
      <w:r w:rsidRPr="006D20A9">
        <w:rPr>
          <w:smallCaps/>
        </w:rPr>
        <w:t>Equilar</w:t>
      </w:r>
      <w:r w:rsidRPr="00E847CF">
        <w:rPr>
          <w:rFonts w:cs="Times New Roman PS"/>
        </w:rPr>
        <w:t xml:space="preserve">, </w:t>
      </w:r>
      <w:r w:rsidRPr="006D20A9">
        <w:rPr>
          <w:smallCaps/>
        </w:rPr>
        <w:t>Executive Long-Term Incentive Plans: Pay for Performance Trends</w:t>
      </w:r>
      <w:r w:rsidRPr="00E847CF">
        <w:rPr>
          <w:rFonts w:cs="Times New Roman PS"/>
        </w:rPr>
        <w:t xml:space="preserve"> 8 (2017) (finding that 87% of S&amp;P 500 companies granted at least one performance award in 2015</w:t>
      </w:r>
      <w:r w:rsidRPr="002561C5">
        <w:rPr>
          <w:rFonts w:cs="Times New Roman PS"/>
        </w:rPr>
        <w:t>).</w:t>
      </w:r>
    </w:p>
  </w:footnote>
  <w:footnote w:id="69">
    <w:p w14:paraId="514594CB" w14:textId="12AF10C1"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DeSimone, </w:t>
      </w:r>
      <w:r w:rsidRPr="00E847CF">
        <w:rPr>
          <w:rFonts w:cs="Times New Roman PS"/>
          <w:i/>
        </w:rPr>
        <w:t>supra</w:t>
      </w:r>
      <w:r w:rsidRPr="00E847CF">
        <w:rPr>
          <w:rFonts w:cs="Times New Roman PS"/>
        </w:rPr>
        <w:t xml:space="preserve"> note </w:t>
      </w:r>
      <w:r w:rsidRPr="00895C13">
        <w:rPr>
          <w:rFonts w:cs="Times New Roman PS"/>
        </w:rPr>
        <w:fldChar w:fldCharType="begin"/>
      </w:r>
      <w:r w:rsidRPr="00374AC3">
        <w:rPr>
          <w:rFonts w:cs="Times New Roman PS"/>
        </w:rPr>
        <w:instrText xml:space="preserve"> NOTEREF _Ref19690677 \h </w:instrText>
      </w:r>
      <w:r w:rsidRPr="006D20A9">
        <w:rPr>
          <w:rFonts w:cs="Times New Roman PS"/>
        </w:rPr>
        <w:instrText xml:space="preserve"> \* MERGEFORMAT </w:instrText>
      </w:r>
      <w:r w:rsidRPr="00895C13">
        <w:rPr>
          <w:rFonts w:cs="Times New Roman PS"/>
        </w:rPr>
      </w:r>
      <w:r w:rsidRPr="00895C13">
        <w:rPr>
          <w:rFonts w:cs="Times New Roman PS"/>
        </w:rPr>
        <w:fldChar w:fldCharType="separate"/>
      </w:r>
      <w:r w:rsidR="005C51FD">
        <w:rPr>
          <w:rFonts w:cs="Times New Roman PS"/>
        </w:rPr>
        <w:t>6</w:t>
      </w:r>
      <w:r w:rsidRPr="00895C13">
        <w:rPr>
          <w:rFonts w:cs="Times New Roman PS"/>
        </w:rPr>
        <w:fldChar w:fldCharType="end"/>
      </w:r>
      <w:r w:rsidRPr="00E847CF">
        <w:rPr>
          <w:rFonts w:cs="Times New Roman PS"/>
        </w:rPr>
        <w:t>, at 34</w:t>
      </w:r>
      <w:r w:rsidRPr="00374AC3">
        <w:rPr>
          <w:rFonts w:cs="Times New Roman PS"/>
        </w:rPr>
        <w:t>.</w:t>
      </w:r>
      <w:r>
        <w:rPr>
          <w:rFonts w:cs="Times New Roman PS"/>
        </w:rPr>
        <w:t xml:space="preserve"> </w:t>
      </w:r>
      <w:r w:rsidRPr="00E847CF">
        <w:rPr>
          <w:rFonts w:cs="Times New Roman PS"/>
        </w:rPr>
        <w:t>The ISS Incentive Lab database provides detailed information on executive pay arrangements since 1998 at approximately 1200 of the largest U.S. public companies.</w:t>
      </w:r>
      <w:r>
        <w:rPr>
          <w:rFonts w:cs="Times New Roman PS"/>
        </w:rPr>
        <w:t xml:space="preserve"> </w:t>
      </w:r>
      <w:r w:rsidRPr="00E847CF">
        <w:rPr>
          <w:rFonts w:cs="Times New Roman PS"/>
          <w:i/>
        </w:rPr>
        <w:t>Id</w:t>
      </w:r>
      <w:r w:rsidRPr="00FC25A8">
        <w:rPr>
          <w:rFonts w:cs="Times New Roman PS"/>
          <w:i/>
        </w:rPr>
        <w:t>.</w:t>
      </w:r>
      <w:r w:rsidRPr="00E847CF">
        <w:rPr>
          <w:rFonts w:cs="Times New Roman PS"/>
        </w:rPr>
        <w:t xml:space="preserve"> at 15.</w:t>
      </w:r>
    </w:p>
  </w:footnote>
  <w:footnote w:id="70">
    <w:p w14:paraId="756A1CB0" w14:textId="0139A45E" w:rsidR="00051004" w:rsidRPr="00E847CF" w:rsidRDefault="00051004" w:rsidP="00E847CF">
      <w:pPr>
        <w:pStyle w:val="FootNote"/>
        <w:rPr>
          <w:rFonts w:cs="Times New Roman PS"/>
        </w:rPr>
      </w:pPr>
      <w:r>
        <w:rPr>
          <w:rFonts w:cs="Times New Roman PS"/>
          <w:smallCaps/>
        </w:rPr>
        <w:fldChar w:fldCharType="begin"/>
      </w:r>
      <w:r>
        <w:rPr>
          <w:rFonts w:cs="Times New Roman PS"/>
          <w:smallCaps/>
        </w:rPr>
        <w:instrText xml:space="preserve"> ADVANCE \r10 \* MERGEFORMAT </w:instrText>
      </w:r>
      <w:r>
        <w:rPr>
          <w:rFonts w:cs="Times New Roman PS"/>
          <w:smallCaps/>
        </w:rPr>
        <w:fldChar w:fldCharType="end"/>
      </w:r>
      <w:r w:rsidRPr="00F155BE">
        <w:rPr>
          <w:rStyle w:val="NoterefInNote"/>
        </w:rPr>
        <w:footnoteRef/>
      </w:r>
      <w:r>
        <w:rPr>
          <w:rFonts w:cs="Times New Roman PS"/>
          <w:smallCaps/>
        </w:rPr>
        <w:fldChar w:fldCharType="begin"/>
      </w:r>
      <w:r>
        <w:rPr>
          <w:rFonts w:cs="Times New Roman PS"/>
          <w:smallCaps/>
        </w:rPr>
        <w:instrText xml:space="preserve"> ADVANCE \r4 \* MERGEFORMAT </w:instrText>
      </w:r>
      <w:r>
        <w:rPr>
          <w:rFonts w:cs="Times New Roman PS"/>
          <w:smallCaps/>
        </w:rPr>
        <w:fldChar w:fldCharType="end"/>
      </w:r>
      <w:r w:rsidRPr="002672CC">
        <w:rPr>
          <w:rFonts w:cs="Times New Roman PS"/>
          <w:smallCaps/>
        </w:rPr>
        <w:t>Equilar</w:t>
      </w:r>
      <w:r w:rsidRPr="00E847CF">
        <w:rPr>
          <w:rFonts w:cs="Times New Roman PS"/>
        </w:rPr>
        <w:t xml:space="preserve">, </w:t>
      </w:r>
      <w:r w:rsidRPr="00E847CF">
        <w:rPr>
          <w:rFonts w:cs="Times New Roman PS"/>
          <w:i/>
        </w:rPr>
        <w:t>supra</w:t>
      </w:r>
      <w:r w:rsidRPr="00E847CF">
        <w:rPr>
          <w:rFonts w:cs="Times New Roman PS"/>
        </w:rPr>
        <w:t xml:space="preserve"> note </w:t>
      </w:r>
      <w:r w:rsidRPr="00895C13">
        <w:rPr>
          <w:rFonts w:cs="Times New Roman PS"/>
        </w:rPr>
        <w:fldChar w:fldCharType="begin"/>
      </w:r>
      <w:r w:rsidRPr="00374AC3">
        <w:rPr>
          <w:rFonts w:cs="Times New Roman PS"/>
        </w:rPr>
        <w:instrText xml:space="preserve"> NOTEREF _Ref19690530 \h </w:instrText>
      </w:r>
      <w:r w:rsidRPr="006D20A9">
        <w:rPr>
          <w:rFonts w:cs="Times New Roman PS"/>
        </w:rPr>
        <w:instrText xml:space="preserve"> \* MERGEFORMAT </w:instrText>
      </w:r>
      <w:r w:rsidRPr="00895C13">
        <w:rPr>
          <w:rFonts w:cs="Times New Roman PS"/>
        </w:rPr>
      </w:r>
      <w:r w:rsidRPr="00895C13">
        <w:rPr>
          <w:rFonts w:cs="Times New Roman PS"/>
        </w:rPr>
        <w:fldChar w:fldCharType="separate"/>
      </w:r>
      <w:r w:rsidR="005C51FD">
        <w:rPr>
          <w:rFonts w:cs="Times New Roman PS"/>
        </w:rPr>
        <w:t>66</w:t>
      </w:r>
      <w:r w:rsidRPr="00895C13">
        <w:rPr>
          <w:rFonts w:cs="Times New Roman PS"/>
        </w:rPr>
        <w:fldChar w:fldCharType="end"/>
      </w:r>
      <w:r w:rsidRPr="00E847CF">
        <w:rPr>
          <w:rFonts w:cs="Times New Roman PS"/>
        </w:rPr>
        <w:t>, at 8</w:t>
      </w:r>
      <w:r w:rsidRPr="00374AC3">
        <w:rPr>
          <w:rFonts w:cs="Times New Roman PS"/>
        </w:rPr>
        <w:t>.</w:t>
      </w:r>
    </w:p>
  </w:footnote>
  <w:footnote w:id="71">
    <w:p w14:paraId="02DB9031" w14:textId="4E2B336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_Ref19690542 \h </w:instrText>
      </w:r>
      <w:r>
        <w:rPr>
          <w:rFonts w:cs="Times New Roman PS"/>
        </w:rPr>
      </w:r>
      <w:r>
        <w:rPr>
          <w:rFonts w:cs="Times New Roman PS"/>
        </w:rPr>
        <w:fldChar w:fldCharType="separate"/>
      </w:r>
      <w:r w:rsidR="005C51FD">
        <w:rPr>
          <w:rFonts w:cs="Times New Roman PS"/>
        </w:rPr>
        <w:t>50</w:t>
      </w:r>
      <w:r>
        <w:rPr>
          <w:rFonts w:cs="Times New Roman PS"/>
        </w:rPr>
        <w:fldChar w:fldCharType="end"/>
      </w:r>
      <w:r>
        <w:rPr>
          <w:rFonts w:cs="Times New Roman PS"/>
        </w:rPr>
        <w:t>, at 634-</w:t>
      </w:r>
      <w:r w:rsidRPr="00E847CF">
        <w:rPr>
          <w:rFonts w:cs="Times New Roman PS"/>
        </w:rPr>
        <w:t>41</w:t>
      </w:r>
      <w:r>
        <w:rPr>
          <w:rFonts w:cs="Times New Roman PS"/>
        </w:rPr>
        <w:t xml:space="preserve"> (discussing various factors influencing shift from option to stock compensation)</w:t>
      </w:r>
      <w:r w:rsidRPr="00E847CF">
        <w:rPr>
          <w:rFonts w:cs="Times New Roman PS"/>
        </w:rPr>
        <w:t>.</w:t>
      </w:r>
    </w:p>
  </w:footnote>
  <w:footnote w:id="72">
    <w:p w14:paraId="3C374BD8" w14:textId="135EE44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As discussed </w:t>
      </w:r>
      <w:r w:rsidRPr="00E847CF">
        <w:rPr>
          <w:rFonts w:cs="Times New Roman PS"/>
          <w:i/>
        </w:rPr>
        <w:t>supra</w:t>
      </w:r>
      <w:r w:rsidRPr="00E847CF">
        <w:rPr>
          <w:rFonts w:cs="Times New Roman PS"/>
        </w:rPr>
        <w:t xml:space="preserve"> note </w:t>
      </w:r>
      <w:r w:rsidRPr="00895C13">
        <w:rPr>
          <w:rFonts w:cs="Times New Roman PS"/>
        </w:rPr>
        <w:fldChar w:fldCharType="begin"/>
      </w:r>
      <w:r w:rsidRPr="00065E23">
        <w:rPr>
          <w:rFonts w:cs="Times New Roman PS"/>
        </w:rPr>
        <w:instrText xml:space="preserve"> NOTEREF _Ref19690554 \h </w:instrText>
      </w:r>
      <w:r w:rsidRPr="006D20A9">
        <w:rPr>
          <w:rFonts w:cs="Times New Roman PS"/>
        </w:rPr>
        <w:instrText xml:space="preserve"> \* MERGEFORMAT </w:instrText>
      </w:r>
      <w:r w:rsidRPr="00895C13">
        <w:rPr>
          <w:rFonts w:cs="Times New Roman PS"/>
        </w:rPr>
      </w:r>
      <w:r w:rsidRPr="00895C13">
        <w:rPr>
          <w:rFonts w:cs="Times New Roman PS"/>
        </w:rPr>
        <w:fldChar w:fldCharType="separate"/>
      </w:r>
      <w:r w:rsidR="005C51FD">
        <w:rPr>
          <w:rFonts w:cs="Times New Roman PS"/>
        </w:rPr>
        <w:t>48</w:t>
      </w:r>
      <w:r w:rsidRPr="00895C13">
        <w:rPr>
          <w:rFonts w:cs="Times New Roman PS"/>
        </w:rPr>
        <w:fldChar w:fldCharType="end"/>
      </w:r>
      <w:r w:rsidRPr="00E847CF">
        <w:rPr>
          <w:rFonts w:cs="Times New Roman PS"/>
        </w:rPr>
        <w:t xml:space="preserve">, prior to 2006, conventional compensatory stock options </w:t>
      </w:r>
      <w:r>
        <w:rPr>
          <w:rFonts w:cs="Times New Roman PS"/>
        </w:rPr>
        <w:t xml:space="preserve">bore no cost </w:t>
      </w:r>
      <w:r w:rsidRPr="00E847CF">
        <w:rPr>
          <w:rFonts w:cs="Times New Roman PS"/>
        </w:rPr>
        <w:t>from an accounting perspective.</w:t>
      </w:r>
      <w:r w:rsidRPr="00315055">
        <w:t xml:space="preserve"> </w:t>
      </w:r>
      <w:r w:rsidRPr="00E847CF">
        <w:rPr>
          <w:rFonts w:cs="Times New Roman PS"/>
        </w:rPr>
        <w:t>Further, in 1992 Congress amended the tax rules to deny deductions for senior executive pay in excess of $1 million per executive per year except for certain performance-based pay.</w:t>
      </w:r>
      <w:r>
        <w:rPr>
          <w:rFonts w:cs="Times New Roman PS"/>
        </w:rPr>
        <w:t xml:space="preserve"> </w:t>
      </w:r>
      <w:r w:rsidRPr="00E847CF">
        <w:rPr>
          <w:rFonts w:cs="Times New Roman PS"/>
        </w:rPr>
        <w:t>Stock options satisfied the performance</w:t>
      </w:r>
      <w:r>
        <w:rPr>
          <w:rFonts w:cs="Times New Roman PS"/>
        </w:rPr>
        <w:t>-</w:t>
      </w:r>
      <w:r w:rsidRPr="00E847CF">
        <w:rPr>
          <w:rFonts w:cs="Times New Roman PS"/>
        </w:rPr>
        <w:t>pay exception.</w:t>
      </w:r>
      <w:r>
        <w:rPr>
          <w:rFonts w:cs="Times New Roman PS"/>
        </w:rPr>
        <w:t xml:space="preserve"> </w:t>
      </w:r>
      <w:r w:rsidRPr="00065E23">
        <w:rPr>
          <w:rFonts w:cs="Times New Roman PS"/>
        </w:rPr>
        <w:t xml:space="preserve">Walker, </w:t>
      </w:r>
      <w:r w:rsidRPr="00065E23">
        <w:rPr>
          <w:rFonts w:cs="Times New Roman PS"/>
          <w:i/>
        </w:rPr>
        <w:t>supra</w:t>
      </w:r>
      <w:r w:rsidRPr="00065E23">
        <w:rPr>
          <w:rFonts w:cs="Times New Roman PS"/>
        </w:rPr>
        <w:t xml:space="preserve"> note </w:t>
      </w:r>
      <w:r w:rsidRPr="00895C13">
        <w:rPr>
          <w:rFonts w:cs="Times New Roman PS"/>
        </w:rPr>
        <w:fldChar w:fldCharType="begin"/>
      </w:r>
      <w:r w:rsidRPr="00065E23">
        <w:rPr>
          <w:rFonts w:cs="Times New Roman PS"/>
        </w:rPr>
        <w:instrText xml:space="preserve"> NOTEREF _Ref19690554 \h </w:instrText>
      </w:r>
      <w:r w:rsidRPr="006D20A9">
        <w:rPr>
          <w:rFonts w:cs="Times New Roman PS"/>
        </w:rPr>
        <w:instrText xml:space="preserve"> \* MERGEFORMAT </w:instrText>
      </w:r>
      <w:r w:rsidRPr="00895C13">
        <w:rPr>
          <w:rFonts w:cs="Times New Roman PS"/>
        </w:rPr>
      </w:r>
      <w:r w:rsidRPr="00895C13">
        <w:rPr>
          <w:rFonts w:cs="Times New Roman PS"/>
        </w:rPr>
        <w:fldChar w:fldCharType="separate"/>
      </w:r>
      <w:r w:rsidR="005C51FD">
        <w:rPr>
          <w:rFonts w:cs="Times New Roman PS"/>
        </w:rPr>
        <w:t>48</w:t>
      </w:r>
      <w:r w:rsidRPr="00895C13">
        <w:rPr>
          <w:rFonts w:cs="Times New Roman PS"/>
        </w:rPr>
        <w:fldChar w:fldCharType="end"/>
      </w:r>
      <w:r w:rsidRPr="00065E23">
        <w:rPr>
          <w:rFonts w:cs="Times New Roman PS"/>
        </w:rPr>
        <w:t>, at 239.</w:t>
      </w:r>
    </w:p>
  </w:footnote>
  <w:footnote w:id="73">
    <w:p w14:paraId="30655F1C" w14:textId="52A85C23"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_Ref19690584 \h </w:instrText>
      </w:r>
      <w:r>
        <w:rPr>
          <w:rFonts w:cs="Times New Roman PS"/>
        </w:rPr>
      </w:r>
      <w:r>
        <w:rPr>
          <w:rFonts w:cs="Times New Roman PS"/>
        </w:rPr>
        <w:fldChar w:fldCharType="separate"/>
      </w:r>
      <w:r w:rsidR="005C51FD">
        <w:rPr>
          <w:rFonts w:cs="Times New Roman PS"/>
        </w:rPr>
        <w:t>54</w:t>
      </w:r>
      <w:r>
        <w:rPr>
          <w:rFonts w:cs="Times New Roman PS"/>
        </w:rPr>
        <w:fldChar w:fldCharType="end"/>
      </w:r>
      <w:r>
        <w:rPr>
          <w:rFonts w:cs="Times New Roman PS"/>
        </w:rPr>
        <w:t>.</w:t>
      </w:r>
    </w:p>
  </w:footnote>
  <w:footnote w:id="74">
    <w:p w14:paraId="3BFE8426" w14:textId="79E7A4A5"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_Ref19690542 \h </w:instrText>
      </w:r>
      <w:r>
        <w:rPr>
          <w:rFonts w:cs="Times New Roman PS"/>
        </w:rPr>
      </w:r>
      <w:r>
        <w:rPr>
          <w:rFonts w:cs="Times New Roman PS"/>
        </w:rPr>
        <w:fldChar w:fldCharType="separate"/>
      </w:r>
      <w:r w:rsidR="005C51FD">
        <w:rPr>
          <w:rFonts w:cs="Times New Roman PS"/>
        </w:rPr>
        <w:t>50</w:t>
      </w:r>
      <w:r>
        <w:rPr>
          <w:rFonts w:cs="Times New Roman PS"/>
        </w:rPr>
        <w:fldChar w:fldCharType="end"/>
      </w:r>
      <w:r w:rsidRPr="00E847CF">
        <w:rPr>
          <w:rFonts w:cs="Times New Roman PS"/>
        </w:rPr>
        <w:t xml:space="preserve">, at </w:t>
      </w:r>
      <w:r>
        <w:rPr>
          <w:rFonts w:cs="Times New Roman PS"/>
        </w:rPr>
        <w:t>636, 639-41</w:t>
      </w:r>
      <w:r w:rsidRPr="00E847CF">
        <w:rPr>
          <w:rFonts w:cs="Times New Roman PS"/>
        </w:rPr>
        <w:t>.</w:t>
      </w:r>
    </w:p>
  </w:footnote>
  <w:footnote w:id="75">
    <w:p w14:paraId="2E206A84" w14:textId="52D78180"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i/>
        </w:rPr>
        <w:t>See id.</w:t>
      </w:r>
      <w:r>
        <w:rPr>
          <w:rFonts w:cs="Times New Roman PS"/>
        </w:rPr>
        <w:t xml:space="preserve"> at 637-38.</w:t>
      </w:r>
    </w:p>
  </w:footnote>
  <w:footnote w:id="76">
    <w:p w14:paraId="071FF143" w14:textId="50BFC757"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e.g</w:t>
      </w:r>
      <w:r>
        <w:rPr>
          <w:rFonts w:cs="Times New Roman PS"/>
          <w:i/>
        </w:rPr>
        <w:t>.</w:t>
      </w:r>
      <w:r w:rsidRPr="00E847CF">
        <w:rPr>
          <w:rFonts w:cs="Times New Roman PS"/>
        </w:rPr>
        <w:t xml:space="preserve">, </w:t>
      </w:r>
      <w:r>
        <w:rPr>
          <w:rFonts w:cs="Times New Roman PS"/>
        </w:rPr>
        <w:t xml:space="preserve">Simon Patterson &amp; David Bixby, </w:t>
      </w:r>
      <w:r w:rsidRPr="006D20A9">
        <w:rPr>
          <w:rFonts w:cs="Times New Roman PS"/>
          <w:i/>
        </w:rPr>
        <w:t>Can RSUs Reduce Executive Pay Complexity?</w:t>
      </w:r>
      <w:r>
        <w:rPr>
          <w:rFonts w:cs="Times New Roman PS"/>
        </w:rPr>
        <w:t xml:space="preserve">, </w:t>
      </w:r>
      <w:r w:rsidRPr="006D20A9">
        <w:rPr>
          <w:rFonts w:cs="Times New Roman PS"/>
          <w:smallCaps/>
        </w:rPr>
        <w:t>Pearl Meyer</w:t>
      </w:r>
      <w:r w:rsidRPr="00E847CF">
        <w:rPr>
          <w:rFonts w:cs="Times New Roman PS"/>
        </w:rPr>
        <w:t xml:space="preserve"> (Dec. 2017)</w:t>
      </w:r>
      <w:r>
        <w:rPr>
          <w:rFonts w:cs="Times New Roman PS"/>
        </w:rPr>
        <w:t xml:space="preserve">, </w:t>
      </w:r>
      <w:r w:rsidRPr="00884F87">
        <w:rPr>
          <w:rFonts w:cs="Times New Roman PS"/>
        </w:rPr>
        <w:t>https://www.pearlmeyer.com/knowledge-share</w:t>
      </w:r>
      <w:r>
        <w:rPr>
          <w:rFonts w:cs="Times New Roman PS"/>
        </w:rPr>
        <w:br/>
      </w:r>
      <w:r w:rsidRPr="00884F87">
        <w:rPr>
          <w:rFonts w:cs="Times New Roman PS"/>
        </w:rPr>
        <w:t>/ask-the-expert/can-rsus-reduce-executive-pay-complexity</w:t>
      </w:r>
      <w:r>
        <w:rPr>
          <w:rFonts w:cs="Times New Roman PS"/>
        </w:rPr>
        <w:t xml:space="preserve"> [</w:t>
      </w:r>
      <w:r w:rsidRPr="005317E7">
        <w:rPr>
          <w:rFonts w:cs="Times New Roman PS"/>
        </w:rPr>
        <w:t>https://perma.cc/L8SU-4ZPH</w:t>
      </w:r>
      <w:r>
        <w:rPr>
          <w:rFonts w:cs="Times New Roman PS"/>
        </w:rPr>
        <w:t xml:space="preserve">] </w:t>
      </w:r>
      <w:r w:rsidRPr="00E847CF">
        <w:rPr>
          <w:rFonts w:cs="Times New Roman PS"/>
        </w:rPr>
        <w:t>(noting investors</w:t>
      </w:r>
      <w:r>
        <w:rPr>
          <w:rFonts w:cs="Times New Roman PS"/>
        </w:rPr>
        <w:t>’ perception</w:t>
      </w:r>
      <w:r w:rsidRPr="00E847CF">
        <w:rPr>
          <w:rFonts w:cs="Times New Roman PS"/>
        </w:rPr>
        <w:t xml:space="preserve"> that time-vested restricted stock constitutes </w:t>
      </w:r>
      <w:r>
        <w:rPr>
          <w:rFonts w:cs="Times New Roman PS"/>
        </w:rPr>
        <w:t>“</w:t>
      </w:r>
      <w:r w:rsidRPr="00E847CF">
        <w:rPr>
          <w:rFonts w:cs="Times New Roman PS"/>
        </w:rPr>
        <w:t>pay</w:t>
      </w:r>
      <w:r>
        <w:rPr>
          <w:rFonts w:cs="Times New Roman PS"/>
        </w:rPr>
        <w:t>ing</w:t>
      </w:r>
      <w:r w:rsidRPr="00E847CF">
        <w:rPr>
          <w:rFonts w:cs="Times New Roman PS"/>
        </w:rPr>
        <w:t xml:space="preserve"> for pulse</w:t>
      </w:r>
      <w:r>
        <w:rPr>
          <w:rFonts w:cs="Times New Roman PS"/>
        </w:rPr>
        <w:t>”</w:t>
      </w:r>
      <w:r w:rsidRPr="00E847CF">
        <w:rPr>
          <w:rFonts w:cs="Times New Roman PS"/>
        </w:rPr>
        <w:t>).</w:t>
      </w:r>
    </w:p>
  </w:footnote>
  <w:footnote w:id="77">
    <w:p w14:paraId="6F7748A4" w14:textId="29D2221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In addition, purely time</w:t>
      </w:r>
      <w:r>
        <w:rPr>
          <w:rFonts w:cs="Times New Roman PS"/>
        </w:rPr>
        <w:t>-</w:t>
      </w:r>
      <w:r w:rsidRPr="00E847CF">
        <w:rPr>
          <w:rFonts w:cs="Times New Roman PS"/>
        </w:rPr>
        <w:t>vested restricted stock did not satisfy the performance-based pay exception to I</w:t>
      </w:r>
      <w:r>
        <w:rPr>
          <w:rFonts w:cs="Times New Roman PS"/>
        </w:rPr>
        <w:t>.</w:t>
      </w:r>
      <w:r w:rsidRPr="00E847CF">
        <w:rPr>
          <w:rFonts w:cs="Times New Roman PS"/>
        </w:rPr>
        <w:t>R</w:t>
      </w:r>
      <w:r>
        <w:rPr>
          <w:rFonts w:cs="Times New Roman PS"/>
        </w:rPr>
        <w:t>.</w:t>
      </w:r>
      <w:r w:rsidRPr="00E847CF">
        <w:rPr>
          <w:rFonts w:cs="Times New Roman PS"/>
        </w:rPr>
        <w:t>C</w:t>
      </w:r>
      <w:r>
        <w:rPr>
          <w:rFonts w:cs="Times New Roman PS"/>
        </w:rPr>
        <w:t>.</w:t>
      </w:r>
      <w:r w:rsidRPr="00E847CF">
        <w:rPr>
          <w:rFonts w:cs="Times New Roman PS"/>
        </w:rPr>
        <w:t xml:space="preserve"> §</w:t>
      </w:r>
      <w:r>
        <w:rPr>
          <w:rFonts w:cs="Times New Roman PS"/>
        </w:rPr>
        <w:t> </w:t>
      </w:r>
      <w:r w:rsidRPr="00E847CF">
        <w:rPr>
          <w:rFonts w:cs="Times New Roman PS"/>
        </w:rPr>
        <w:t>162(m) and thus was largely not deductible.</w:t>
      </w:r>
      <w:r>
        <w:rPr>
          <w:rFonts w:cs="Times New Roman PS"/>
        </w:rPr>
        <w:t xml:space="preserve"> </w:t>
      </w:r>
      <w:r w:rsidRPr="00E847CF">
        <w:rPr>
          <w:rFonts w:cs="Times New Roman PS"/>
        </w:rPr>
        <w:t>Restricted stock with performance</w:t>
      </w:r>
      <w:r>
        <w:rPr>
          <w:rFonts w:cs="Times New Roman PS"/>
        </w:rPr>
        <w:t>-</w:t>
      </w:r>
      <w:r w:rsidRPr="00E847CF">
        <w:rPr>
          <w:rFonts w:cs="Times New Roman PS"/>
        </w:rPr>
        <w:t>vesting conditions was generally fully deductible.</w:t>
      </w:r>
      <w:r>
        <w:rPr>
          <w:rFonts w:cs="Times New Roman PS"/>
        </w:rPr>
        <w:t xml:space="preserve"> </w:t>
      </w:r>
      <w:r w:rsidRPr="00E847CF">
        <w:rPr>
          <w:rFonts w:cs="Times New Roman PS"/>
          <w:i/>
        </w:rPr>
        <w:t>See</w:t>
      </w:r>
      <w:r w:rsidRPr="00E847CF">
        <w:rPr>
          <w:rFonts w:cs="Times New Roman PS"/>
        </w:rPr>
        <w:t xml:space="preserve"> 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_Ref21080132 \h </w:instrText>
      </w:r>
      <w:r>
        <w:rPr>
          <w:rFonts w:cs="Times New Roman PS"/>
        </w:rPr>
      </w:r>
      <w:r>
        <w:rPr>
          <w:rFonts w:cs="Times New Roman PS"/>
        </w:rPr>
        <w:fldChar w:fldCharType="separate"/>
      </w:r>
      <w:r w:rsidR="005C51FD">
        <w:rPr>
          <w:rFonts w:cs="Times New Roman PS"/>
        </w:rPr>
        <w:t>43</w:t>
      </w:r>
      <w:r>
        <w:rPr>
          <w:rFonts w:cs="Times New Roman PS"/>
        </w:rPr>
        <w:fldChar w:fldCharType="end"/>
      </w:r>
      <w:r w:rsidRPr="00E847CF">
        <w:rPr>
          <w:rFonts w:cs="Times New Roman PS"/>
        </w:rPr>
        <w:t>, at 407.</w:t>
      </w:r>
    </w:p>
  </w:footnote>
  <w:footnote w:id="78">
    <w:p w14:paraId="7C900EAC" w14:textId="2A1EC177" w:rsidR="00051004"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BlackRock, for example, states that </w:t>
      </w:r>
      <w:r>
        <w:rPr>
          <w:rFonts w:cs="Times New Roman PS"/>
        </w:rPr>
        <w:t>“</w:t>
      </w:r>
      <w:r w:rsidRPr="00E847CF">
        <w:rPr>
          <w:rFonts w:cs="Times New Roman PS"/>
        </w:rPr>
        <w:t>[o]ur evaluation of equity compensation plans is based on a company</w:t>
      </w:r>
      <w:r>
        <w:rPr>
          <w:rFonts w:cs="Times New Roman PS"/>
        </w:rPr>
        <w:t>’</w:t>
      </w:r>
      <w:r w:rsidRPr="00E847CF">
        <w:rPr>
          <w:rFonts w:cs="Times New Roman PS"/>
        </w:rPr>
        <w:t>s executive pay a</w:t>
      </w:r>
      <w:r>
        <w:rPr>
          <w:rFonts w:cs="Times New Roman PS"/>
        </w:rPr>
        <w:t xml:space="preserve">nd performance relative to peers.” </w:t>
      </w:r>
      <w:r w:rsidRPr="006D20A9">
        <w:rPr>
          <w:rFonts w:cs="Times New Roman PS"/>
          <w:smallCaps/>
        </w:rPr>
        <w:t xml:space="preserve">BlackRock, Proxy Voting Guidelines for U.S. Securities </w:t>
      </w:r>
      <w:r>
        <w:rPr>
          <w:rFonts w:cs="Times New Roman PS"/>
        </w:rPr>
        <w:t>11 (2019),</w:t>
      </w:r>
      <w:r>
        <w:rPr>
          <w:rFonts w:cs="Times New Roman PS"/>
          <w:i/>
        </w:rPr>
        <w:t xml:space="preserve"> </w:t>
      </w:r>
      <w:r w:rsidRPr="00E847CF">
        <w:rPr>
          <w:rFonts w:cs="Times New Roman PS"/>
        </w:rPr>
        <w:t>https://www.blackrock.com</w:t>
      </w:r>
      <w:r>
        <w:rPr>
          <w:rFonts w:cs="Times New Roman PS"/>
        </w:rPr>
        <w:br/>
      </w:r>
      <w:r w:rsidRPr="00E847CF">
        <w:rPr>
          <w:rFonts w:cs="Times New Roman PS"/>
        </w:rPr>
        <w:t>/corporate/literature/fact-sheet/blk-responsible-investment-guidelines-us.pdf</w:t>
      </w:r>
      <w:r>
        <w:rPr>
          <w:rFonts w:cs="Times New Roman PS"/>
        </w:rPr>
        <w:t xml:space="preserve"> [</w:t>
      </w:r>
      <w:r w:rsidRPr="00714EB9">
        <w:rPr>
          <w:rFonts w:cs="Times New Roman PS"/>
        </w:rPr>
        <w:t>https://perma.cc/3WGL-2AV2</w:t>
      </w:r>
      <w:r>
        <w:rPr>
          <w:rFonts w:cs="Times New Roman PS"/>
        </w:rPr>
        <w:t xml:space="preserve">]. </w:t>
      </w:r>
      <w:r w:rsidRPr="00E847CF">
        <w:rPr>
          <w:rFonts w:cs="Times New Roman PS"/>
        </w:rPr>
        <w:t xml:space="preserve">In determining how to vote on executive </w:t>
      </w:r>
      <w:r>
        <w:rPr>
          <w:rFonts w:cs="Times New Roman PS"/>
        </w:rPr>
        <w:t>“</w:t>
      </w:r>
      <w:r w:rsidRPr="00E847CF">
        <w:rPr>
          <w:rFonts w:cs="Times New Roman PS"/>
        </w:rPr>
        <w:t>say on pay</w:t>
      </w:r>
      <w:r>
        <w:rPr>
          <w:rFonts w:cs="Times New Roman PS"/>
        </w:rPr>
        <w:t>”</w:t>
      </w:r>
      <w:r w:rsidRPr="00E847CF">
        <w:rPr>
          <w:rFonts w:cs="Times New Roman PS"/>
        </w:rPr>
        <w:t xml:space="preserve"> proposals, Fidelity takes into account </w:t>
      </w:r>
      <w:r>
        <w:rPr>
          <w:rFonts w:cs="Times New Roman PS"/>
        </w:rPr>
        <w:t>“</w:t>
      </w:r>
      <w:r w:rsidRPr="00E847CF">
        <w:rPr>
          <w:rFonts w:cs="Times New Roman PS"/>
        </w:rPr>
        <w:t>[t]he alignment of executive compensation and company performance relative to peers.</w:t>
      </w:r>
      <w:r>
        <w:rPr>
          <w:rFonts w:cs="Times New Roman PS"/>
        </w:rPr>
        <w:t xml:space="preserve">” </w:t>
      </w:r>
      <w:r w:rsidRPr="006D20A9">
        <w:rPr>
          <w:rFonts w:cs="Times New Roman PS"/>
          <w:smallCaps/>
        </w:rPr>
        <w:t>Fidelity, Proxy Voting Guidelines</w:t>
      </w:r>
      <w:r>
        <w:rPr>
          <w:rFonts w:cs="Times New Roman PS"/>
        </w:rPr>
        <w:t xml:space="preserve"> 6 (2019), </w:t>
      </w:r>
      <w:r w:rsidRPr="00E847CF">
        <w:rPr>
          <w:rFonts w:cs="Times New Roman PS"/>
        </w:rPr>
        <w:t>https://www.fidelity.com/bin-public/060_www_fidelity_com/documents/Full-Proxy-Voting-Guidelines-for-Fidelity-Funds-Advised-by-FMRCo-and-SelectCo.pdf</w:t>
      </w:r>
      <w:r>
        <w:rPr>
          <w:rFonts w:cs="Times New Roman PS"/>
        </w:rPr>
        <w:t xml:space="preserve"> [</w:t>
      </w:r>
      <w:r w:rsidRPr="0022175B">
        <w:rPr>
          <w:rFonts w:cs="Times New Roman PS"/>
        </w:rPr>
        <w:t>https://perma.cc/BE2N-RGYH</w:t>
      </w:r>
      <w:r>
        <w:rPr>
          <w:rFonts w:cs="Times New Roman PS"/>
        </w:rPr>
        <w:t xml:space="preserve">]. </w:t>
      </w:r>
      <w:r w:rsidRPr="00E847CF">
        <w:rPr>
          <w:rFonts w:cs="Times New Roman PS"/>
        </w:rPr>
        <w:t>Capital Group</w:t>
      </w:r>
    </w:p>
    <w:p w14:paraId="11DCAC6E" w14:textId="46460EAD" w:rsidR="00051004" w:rsidRDefault="00051004" w:rsidP="002672CC">
      <w:pPr>
        <w:pStyle w:val="1StQuoteFN"/>
      </w:pPr>
      <w:r w:rsidRPr="00E847CF">
        <w:t>prefer</w:t>
      </w:r>
      <w:r>
        <w:t>[s]</w:t>
      </w:r>
      <w:r w:rsidRPr="00E847CF">
        <w:t xml:space="preserve"> a significant portion of management</w:t>
      </w:r>
      <w:r>
        <w:t>’</w:t>
      </w:r>
      <w:r w:rsidRPr="00E847CF">
        <w:t>s compensation to come in the form of equity stakes tied to long-term value creation for all shareholders.</w:t>
      </w:r>
      <w:r>
        <w:t xml:space="preserve"> </w:t>
      </w:r>
      <w:r w:rsidRPr="00E847CF">
        <w:t xml:space="preserve">It is important, however, that such compensation be designed not merely to reward a </w:t>
      </w:r>
      <w:r>
        <w:t>“</w:t>
      </w:r>
      <w:r w:rsidRPr="00E847CF">
        <w:t>rising tide</w:t>
      </w:r>
      <w:r>
        <w:t>”</w:t>
      </w:r>
      <w:r w:rsidRPr="00E847CF">
        <w:t xml:space="preserve"> in either the market or a specific industry that cannot be fairly attributed to management skill or contribution.</w:t>
      </w:r>
    </w:p>
    <w:p w14:paraId="4E2AA959" w14:textId="0FB0439F" w:rsidR="00051004" w:rsidRPr="00E847CF" w:rsidRDefault="00051004" w:rsidP="00E847CF">
      <w:pPr>
        <w:pStyle w:val="FootNote"/>
        <w:rPr>
          <w:rFonts w:cs="Times New Roman PS"/>
        </w:rPr>
      </w:pPr>
      <w:r>
        <w:rPr>
          <w:rFonts w:cs="Times New Roman PS"/>
          <w:i/>
        </w:rPr>
        <w:t>Information on Capital Group’s Policies and Disclosures</w:t>
      </w:r>
      <w:r w:rsidRPr="002672CC">
        <w:rPr>
          <w:rFonts w:cs="Times New Roman PS"/>
        </w:rPr>
        <w:t>,</w:t>
      </w:r>
      <w:r>
        <w:rPr>
          <w:rFonts w:cs="Times New Roman PS"/>
        </w:rPr>
        <w:t xml:space="preserve"> </w:t>
      </w:r>
      <w:r w:rsidRPr="002672CC">
        <w:rPr>
          <w:rFonts w:cs="Times New Roman PS"/>
          <w:smallCaps/>
        </w:rPr>
        <w:t>Capital Group</w:t>
      </w:r>
      <w:r>
        <w:rPr>
          <w:rFonts w:cs="Times New Roman PS"/>
        </w:rPr>
        <w:t xml:space="preserve">, </w:t>
      </w:r>
      <w:r w:rsidRPr="00E847CF">
        <w:rPr>
          <w:rFonts w:cs="Times New Roman PS"/>
        </w:rPr>
        <w:t>https://www.capitalgroup.com/us/policies-and-disclosures.html</w:t>
      </w:r>
      <w:r>
        <w:rPr>
          <w:rFonts w:cs="Times New Roman PS"/>
        </w:rPr>
        <w:t xml:space="preserve"> (last visited Nov. 14, 2019).</w:t>
      </w:r>
    </w:p>
  </w:footnote>
  <w:footnote w:id="79">
    <w:p w14:paraId="55AF9937" w14:textId="498C7AE4" w:rsidR="00051004" w:rsidRPr="002561C5"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2672CC">
        <w:rPr>
          <w:rFonts w:cs="Times New Roman PS"/>
          <w:i/>
        </w:rPr>
        <w:t>Understanding Our Compensation Analysis</w:t>
      </w:r>
      <w:r>
        <w:rPr>
          <w:rFonts w:cs="Times New Roman PS"/>
        </w:rPr>
        <w:t>,</w:t>
      </w:r>
      <w:r w:rsidRPr="002561C5">
        <w:rPr>
          <w:rFonts w:cs="Times New Roman PS"/>
        </w:rPr>
        <w:t xml:space="preserve"> </w:t>
      </w:r>
      <w:r w:rsidRPr="002672CC">
        <w:rPr>
          <w:rFonts w:cs="Times New Roman PS"/>
          <w:smallCaps/>
        </w:rPr>
        <w:t>Glass Lewis</w:t>
      </w:r>
      <w:r w:rsidRPr="002561C5">
        <w:rPr>
          <w:rFonts w:cs="Times New Roman PS"/>
        </w:rPr>
        <w:t xml:space="preserve">, </w:t>
      </w:r>
      <w:r w:rsidRPr="0028064D">
        <w:rPr>
          <w:rFonts w:cs="Times New Roman PS"/>
        </w:rPr>
        <w:t>https://web.archive.org/web</w:t>
      </w:r>
      <w:r>
        <w:rPr>
          <w:rFonts w:cs="Times New Roman PS"/>
        </w:rPr>
        <w:br/>
      </w:r>
      <w:r w:rsidRPr="0028064D">
        <w:rPr>
          <w:rFonts w:cs="Times New Roman PS"/>
        </w:rPr>
        <w:t>/20190226024258/http://www.glasslewis.com/understanding-our-compensation-analysis/</w:t>
      </w:r>
      <w:r>
        <w:rPr>
          <w:rFonts w:cs="Times New Roman PS"/>
        </w:rPr>
        <w:t xml:space="preserve"> [</w:t>
      </w:r>
      <w:r w:rsidRPr="0028064D">
        <w:rPr>
          <w:rFonts w:cs="Times New Roman PS"/>
        </w:rPr>
        <w:t>https://perma.cc/N9H8-56P5</w:t>
      </w:r>
      <w:r>
        <w:rPr>
          <w:rFonts w:cs="Times New Roman PS"/>
        </w:rPr>
        <w:t>] (last visited Nov. 14, 2019) (click “Pay-for-Performance Analysis”)</w:t>
      </w:r>
      <w:r w:rsidRPr="002561C5">
        <w:rPr>
          <w:rFonts w:cs="Times New Roman PS"/>
        </w:rPr>
        <w:t>.</w:t>
      </w:r>
    </w:p>
  </w:footnote>
  <w:footnote w:id="80">
    <w:p w14:paraId="4C95C3AC" w14:textId="5B564908"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p>
  </w:footnote>
  <w:footnote w:id="81">
    <w:p w14:paraId="28807E85" w14:textId="33885385" w:rsidR="00051004" w:rsidRPr="00E847CF" w:rsidRDefault="00051004" w:rsidP="00E847CF">
      <w:pPr>
        <w:pStyle w:val="FootNote"/>
        <w:rPr>
          <w:rFonts w:cs="Times New Roman PS"/>
        </w:rPr>
      </w:pPr>
      <w:r>
        <w:rPr>
          <w:rFonts w:cs="Times New Roman PS"/>
          <w:smallCaps/>
        </w:rPr>
        <w:fldChar w:fldCharType="begin"/>
      </w:r>
      <w:r>
        <w:rPr>
          <w:rFonts w:cs="Times New Roman PS"/>
          <w:smallCaps/>
        </w:rPr>
        <w:instrText xml:space="preserve"> ADVANCE \r10 \* MERGEFORMAT </w:instrText>
      </w:r>
      <w:r>
        <w:rPr>
          <w:rFonts w:cs="Times New Roman PS"/>
          <w:smallCaps/>
        </w:rPr>
        <w:fldChar w:fldCharType="end"/>
      </w:r>
      <w:r w:rsidRPr="00F155BE">
        <w:rPr>
          <w:rStyle w:val="NoterefInNote"/>
        </w:rPr>
        <w:footnoteRef/>
      </w:r>
      <w:r>
        <w:rPr>
          <w:rFonts w:cs="Times New Roman PS"/>
          <w:smallCaps/>
        </w:rPr>
        <w:fldChar w:fldCharType="begin"/>
      </w:r>
      <w:r>
        <w:rPr>
          <w:rFonts w:cs="Times New Roman PS"/>
          <w:smallCaps/>
        </w:rPr>
        <w:instrText xml:space="preserve"> ADVANCE \r4 \* MERGEFORMAT </w:instrText>
      </w:r>
      <w:r>
        <w:rPr>
          <w:rFonts w:cs="Times New Roman PS"/>
          <w:smallCaps/>
        </w:rPr>
        <w:fldChar w:fldCharType="end"/>
      </w:r>
      <w:r>
        <w:rPr>
          <w:rFonts w:cs="Times New Roman PS"/>
          <w:smallCaps/>
        </w:rPr>
        <w:t>Institutional S’holders Servs.</w:t>
      </w:r>
      <w:r w:rsidRPr="00E847CF">
        <w:rPr>
          <w:rFonts w:cs="Times New Roman PS"/>
        </w:rPr>
        <w:t xml:space="preserve">, </w:t>
      </w:r>
      <w:r w:rsidRPr="006D20A9">
        <w:rPr>
          <w:smallCaps/>
        </w:rPr>
        <w:t xml:space="preserve">Pay-for-Performance Mechanics </w:t>
      </w:r>
      <w:r>
        <w:rPr>
          <w:rFonts w:cs="Times New Roman PS"/>
          <w:smallCaps/>
        </w:rPr>
        <w:t>5-7</w:t>
      </w:r>
      <w:r w:rsidRPr="00E847CF">
        <w:rPr>
          <w:rFonts w:cs="Times New Roman PS"/>
        </w:rPr>
        <w:t xml:space="preserve"> (201</w:t>
      </w:r>
      <w:r>
        <w:rPr>
          <w:rFonts w:cs="Times New Roman PS"/>
        </w:rPr>
        <w:t>9</w:t>
      </w:r>
      <w:r w:rsidRPr="00E847CF">
        <w:rPr>
          <w:rFonts w:cs="Times New Roman PS"/>
        </w:rPr>
        <w:t>)</w:t>
      </w:r>
      <w:r>
        <w:rPr>
          <w:rFonts w:cs="Times New Roman PS"/>
        </w:rPr>
        <w:t xml:space="preserve">, </w:t>
      </w:r>
      <w:r w:rsidRPr="00E847CF">
        <w:rPr>
          <w:rFonts w:cs="Times New Roman PS"/>
        </w:rPr>
        <w:t>https://www.issgovernance.com/file/policy/active/americas/Pay-for-Performance-Mechanics.pdf</w:t>
      </w:r>
      <w:r>
        <w:rPr>
          <w:rFonts w:cs="Times New Roman PS"/>
        </w:rPr>
        <w:t xml:space="preserve"> [</w:t>
      </w:r>
      <w:r w:rsidRPr="00EA51FD">
        <w:rPr>
          <w:rFonts w:cs="Times New Roman PS"/>
        </w:rPr>
        <w:t>https://perma.cc/F4W5-PFYE</w:t>
      </w:r>
      <w:r>
        <w:rPr>
          <w:rFonts w:cs="Times New Roman PS"/>
        </w:rPr>
        <w:t>] (specifically, Relative Degree of Alignment, Multiples of Median, and Financial Performance Assessment</w:t>
      </w:r>
      <w:r w:rsidRPr="00E847CF">
        <w:rPr>
          <w:rFonts w:cs="Times New Roman PS"/>
        </w:rPr>
        <w:t>).</w:t>
      </w:r>
    </w:p>
  </w:footnote>
  <w:footnote w:id="82">
    <w:p w14:paraId="64827068" w14:textId="49BD0E7B"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Pr>
          <w:rFonts w:cs="Times New Roman PS"/>
          <w:i/>
          <w:szCs w:val="18"/>
        </w:rPr>
        <w:t>See id.</w:t>
      </w:r>
      <w:r w:rsidRPr="00B24BC3">
        <w:rPr>
          <w:rFonts w:cs="Times New Roman PS"/>
          <w:szCs w:val="18"/>
        </w:rPr>
        <w:t xml:space="preserve"> at 5-6.</w:t>
      </w:r>
    </w:p>
  </w:footnote>
  <w:footnote w:id="83">
    <w:p w14:paraId="7B1F398B" w14:textId="4B72C9B6"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Pr>
          <w:rFonts w:cs="Times New Roman PS"/>
        </w:rPr>
        <w:t xml:space="preserve"> at 5.</w:t>
      </w:r>
    </w:p>
  </w:footnote>
  <w:footnote w:id="84">
    <w:p w14:paraId="77EF7BAF" w14:textId="5A8E6EF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Bizjak et al</w:t>
      </w:r>
      <w:r>
        <w:rPr>
          <w:rFonts w:cs="Times New Roman PS"/>
        </w:rPr>
        <w:t>.</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_Ref19042183 \h </w:instrText>
      </w:r>
      <w:r>
        <w:rPr>
          <w:rFonts w:cs="Times New Roman PS"/>
        </w:rPr>
      </w:r>
      <w:r>
        <w:rPr>
          <w:rFonts w:cs="Times New Roman PS"/>
        </w:rPr>
        <w:fldChar w:fldCharType="separate"/>
      </w:r>
      <w:r w:rsidR="005C51FD">
        <w:rPr>
          <w:rFonts w:cs="Times New Roman PS"/>
        </w:rPr>
        <w:t>65</w:t>
      </w:r>
      <w:r>
        <w:rPr>
          <w:rFonts w:cs="Times New Roman PS"/>
        </w:rPr>
        <w:fldChar w:fldCharType="end"/>
      </w:r>
      <w:r w:rsidRPr="00E847CF">
        <w:rPr>
          <w:rFonts w:cs="Times New Roman PS"/>
        </w:rPr>
        <w:t xml:space="preserve">, at </w:t>
      </w:r>
      <w:r>
        <w:rPr>
          <w:rFonts w:cs="Times New Roman PS"/>
        </w:rPr>
        <w:t xml:space="preserve">23 </w:t>
      </w:r>
      <w:r w:rsidRPr="00E847CF">
        <w:rPr>
          <w:rFonts w:cs="Times New Roman PS"/>
        </w:rPr>
        <w:t>n.2</w:t>
      </w:r>
      <w:r>
        <w:rPr>
          <w:rFonts w:cs="Times New Roman PS"/>
        </w:rPr>
        <w:t>4</w:t>
      </w:r>
      <w:r w:rsidRPr="00E847CF">
        <w:rPr>
          <w:rFonts w:cs="Times New Roman PS"/>
        </w:rPr>
        <w:t>.</w:t>
      </w:r>
    </w:p>
  </w:footnote>
  <w:footnote w:id="85">
    <w:p w14:paraId="3968E1E2" w14:textId="0B7E3BA7"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w:t>
      </w:r>
      <w:r>
        <w:rPr>
          <w:rFonts w:cs="Times New Roman PS"/>
          <w:i/>
        </w:rPr>
        <w:t xml:space="preserve">supra </w:t>
      </w:r>
      <w:r w:rsidRPr="00E847CF">
        <w:rPr>
          <w:rFonts w:cs="Times New Roman PS"/>
        </w:rPr>
        <w:t xml:space="preserve">text </w:t>
      </w:r>
      <w:r>
        <w:rPr>
          <w:rFonts w:cs="Times New Roman PS"/>
        </w:rPr>
        <w:t>accompanying</w:t>
      </w:r>
      <w:r w:rsidRPr="00E847CF">
        <w:rPr>
          <w:rFonts w:cs="Times New Roman PS"/>
        </w:rPr>
        <w:t xml:space="preserve"> notes </w:t>
      </w:r>
      <w:r>
        <w:rPr>
          <w:rFonts w:cs="Times New Roman PS"/>
        </w:rPr>
        <w:fldChar w:fldCharType="begin"/>
      </w:r>
      <w:r>
        <w:rPr>
          <w:rFonts w:cs="Times New Roman PS"/>
        </w:rPr>
        <w:instrText xml:space="preserve"> NOTEREF _Ref19042240 \h </w:instrText>
      </w:r>
      <w:r>
        <w:rPr>
          <w:rFonts w:cs="Times New Roman PS"/>
        </w:rPr>
      </w:r>
      <w:r>
        <w:rPr>
          <w:rFonts w:cs="Times New Roman PS"/>
        </w:rPr>
        <w:fldChar w:fldCharType="separate"/>
      </w:r>
      <w:r w:rsidR="005C51FD">
        <w:rPr>
          <w:rFonts w:cs="Times New Roman PS"/>
        </w:rPr>
        <w:t>14</w:t>
      </w:r>
      <w:r>
        <w:rPr>
          <w:rFonts w:cs="Times New Roman PS"/>
        </w:rPr>
        <w:fldChar w:fldCharType="end"/>
      </w:r>
      <w:r w:rsidRPr="00E847CF">
        <w:rPr>
          <w:rFonts w:cs="Times New Roman PS"/>
        </w:rPr>
        <w:t>-</w:t>
      </w:r>
      <w:r>
        <w:rPr>
          <w:rFonts w:cs="Times New Roman PS"/>
        </w:rPr>
        <w:fldChar w:fldCharType="begin"/>
      </w:r>
      <w:r>
        <w:rPr>
          <w:rFonts w:cs="Times New Roman PS"/>
        </w:rPr>
        <w:instrText xml:space="preserve"> NOTEREF _Ref19042250 \h </w:instrText>
      </w:r>
      <w:r>
        <w:rPr>
          <w:rFonts w:cs="Times New Roman PS"/>
        </w:rPr>
      </w:r>
      <w:r>
        <w:rPr>
          <w:rFonts w:cs="Times New Roman PS"/>
        </w:rPr>
        <w:fldChar w:fldCharType="separate"/>
      </w:r>
      <w:r w:rsidR="005C51FD">
        <w:rPr>
          <w:rFonts w:cs="Times New Roman PS"/>
        </w:rPr>
        <w:t>16</w:t>
      </w:r>
      <w:r>
        <w:rPr>
          <w:rFonts w:cs="Times New Roman PS"/>
        </w:rPr>
        <w:fldChar w:fldCharType="end"/>
      </w:r>
      <w:r w:rsidRPr="00E847CF">
        <w:rPr>
          <w:rFonts w:cs="Times New Roman PS"/>
        </w:rPr>
        <w:t>.</w:t>
      </w:r>
    </w:p>
  </w:footnote>
  <w:footnote w:id="86">
    <w:p w14:paraId="07AE77F1" w14:textId="0A608183"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w:t>
      </w:r>
      <w:r>
        <w:rPr>
          <w:rFonts w:cs="Times New Roman PS"/>
          <w:i/>
        </w:rPr>
        <w:t xml:space="preserve">supra </w:t>
      </w:r>
      <w:r w:rsidRPr="00E847CF">
        <w:rPr>
          <w:rFonts w:cs="Times New Roman PS"/>
        </w:rPr>
        <w:t xml:space="preserve">text </w:t>
      </w:r>
      <w:r>
        <w:rPr>
          <w:rFonts w:cs="Times New Roman PS"/>
        </w:rPr>
        <w:t>accompanying</w:t>
      </w:r>
      <w:r w:rsidRPr="00E847CF">
        <w:rPr>
          <w:rFonts w:cs="Times New Roman PS"/>
        </w:rPr>
        <w:t xml:space="preserve"> notes </w:t>
      </w:r>
      <w:r>
        <w:rPr>
          <w:rFonts w:cs="Times New Roman PS"/>
        </w:rPr>
        <w:fldChar w:fldCharType="begin"/>
      </w:r>
      <w:r>
        <w:rPr>
          <w:rFonts w:cs="Times New Roman PS"/>
        </w:rPr>
        <w:instrText xml:space="preserve"> NOTEREF _Ref19042259 \h </w:instrText>
      </w:r>
      <w:r>
        <w:rPr>
          <w:rFonts w:cs="Times New Roman PS"/>
        </w:rPr>
      </w:r>
      <w:r>
        <w:rPr>
          <w:rFonts w:cs="Times New Roman PS"/>
        </w:rPr>
        <w:fldChar w:fldCharType="separate"/>
      </w:r>
      <w:r w:rsidR="005C51FD">
        <w:rPr>
          <w:rFonts w:cs="Times New Roman PS"/>
        </w:rPr>
        <w:t>23</w:t>
      </w:r>
      <w:r>
        <w:rPr>
          <w:rFonts w:cs="Times New Roman PS"/>
        </w:rPr>
        <w:fldChar w:fldCharType="end"/>
      </w:r>
      <w:r w:rsidRPr="00E847CF">
        <w:rPr>
          <w:rFonts w:cs="Times New Roman PS"/>
        </w:rPr>
        <w:t>-</w:t>
      </w:r>
      <w:r>
        <w:rPr>
          <w:rFonts w:cs="Times New Roman PS"/>
        </w:rPr>
        <w:fldChar w:fldCharType="begin"/>
      </w:r>
      <w:r>
        <w:rPr>
          <w:rFonts w:cs="Times New Roman PS"/>
        </w:rPr>
        <w:instrText xml:space="preserve"> NOTEREF _Ref19042270 \h </w:instrText>
      </w:r>
      <w:r>
        <w:rPr>
          <w:rFonts w:cs="Times New Roman PS"/>
        </w:rPr>
      </w:r>
      <w:r>
        <w:rPr>
          <w:rFonts w:cs="Times New Roman PS"/>
        </w:rPr>
        <w:fldChar w:fldCharType="separate"/>
      </w:r>
      <w:r w:rsidR="005C51FD">
        <w:rPr>
          <w:rFonts w:cs="Times New Roman PS"/>
        </w:rPr>
        <w:t>25</w:t>
      </w:r>
      <w:r>
        <w:rPr>
          <w:rFonts w:cs="Times New Roman PS"/>
        </w:rPr>
        <w:fldChar w:fldCharType="end"/>
      </w:r>
      <w:r w:rsidRPr="00E847CF">
        <w:rPr>
          <w:rFonts w:cs="Times New Roman PS"/>
        </w:rPr>
        <w:t>.</w:t>
      </w:r>
    </w:p>
  </w:footnote>
  <w:footnote w:id="87">
    <w:p w14:paraId="4B3C0E0D" w14:textId="1EF6E8D9"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sidRPr="00B24BC3">
        <w:rPr>
          <w:rFonts w:cs="Times New Roman PS"/>
          <w:i/>
          <w:szCs w:val="18"/>
        </w:rPr>
        <w:t xml:space="preserve">See supra </w:t>
      </w:r>
      <w:r w:rsidRPr="00B24BC3">
        <w:rPr>
          <w:rFonts w:cs="Times New Roman PS"/>
          <w:szCs w:val="18"/>
        </w:rPr>
        <w:t xml:space="preserve">text accompanying notes </w:t>
      </w:r>
      <w:r w:rsidRPr="00B24BC3">
        <w:rPr>
          <w:rFonts w:cs="Times New Roman PS"/>
          <w:szCs w:val="18"/>
        </w:rPr>
        <w:fldChar w:fldCharType="begin"/>
      </w:r>
      <w:r w:rsidRPr="00B24BC3">
        <w:rPr>
          <w:rFonts w:cs="Times New Roman PS"/>
          <w:szCs w:val="18"/>
        </w:rPr>
        <w:instrText xml:space="preserve"> NOTEREF _Ref19042240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14</w:t>
      </w:r>
      <w:r w:rsidRPr="00B24BC3">
        <w:rPr>
          <w:rFonts w:cs="Times New Roman PS"/>
          <w:szCs w:val="18"/>
        </w:rPr>
        <w:fldChar w:fldCharType="end"/>
      </w:r>
      <w:r w:rsidRPr="00B24BC3">
        <w:rPr>
          <w:rFonts w:cs="Times New Roman PS"/>
          <w:szCs w:val="18"/>
        </w:rPr>
        <w:t>-</w:t>
      </w:r>
      <w:r w:rsidRPr="00B24BC3">
        <w:rPr>
          <w:rFonts w:cs="Times New Roman PS"/>
          <w:szCs w:val="18"/>
        </w:rPr>
        <w:fldChar w:fldCharType="begin"/>
      </w:r>
      <w:r w:rsidRPr="00B24BC3">
        <w:rPr>
          <w:rFonts w:cs="Times New Roman PS"/>
          <w:szCs w:val="18"/>
        </w:rPr>
        <w:instrText xml:space="preserve"> NOTEREF _Ref19042250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16</w:t>
      </w:r>
      <w:r w:rsidRPr="00B24BC3">
        <w:rPr>
          <w:rFonts w:cs="Times New Roman PS"/>
          <w:szCs w:val="18"/>
        </w:rPr>
        <w:fldChar w:fldCharType="end"/>
      </w:r>
      <w:r w:rsidRPr="00B24BC3">
        <w:rPr>
          <w:rFonts w:cs="Times New Roman PS"/>
          <w:szCs w:val="18"/>
        </w:rPr>
        <w:t>.</w:t>
      </w:r>
    </w:p>
  </w:footnote>
  <w:footnote w:id="88">
    <w:p w14:paraId="59F3D6B9" w14:textId="63029C79" w:rsidR="00051004" w:rsidRPr="00B24BC3" w:rsidRDefault="00051004" w:rsidP="00B24BC3">
      <w:pPr>
        <w:pStyle w:val="FootNote"/>
      </w:pPr>
      <w:r>
        <w:rPr>
          <w:rFonts w:cs="Times New Roman PS"/>
          <w:szCs w:val="18"/>
        </w:rPr>
        <w:fldChar w:fldCharType="begin"/>
      </w:r>
      <w:r>
        <w:rPr>
          <w:rFonts w:cs="Times New Roman PS"/>
          <w:szCs w:val="18"/>
        </w:rPr>
        <w:instrText xml:space="preserve"> ADVANCE \r10 \* MERGEFORMAT </w:instrText>
      </w:r>
      <w:r>
        <w:rPr>
          <w:rFonts w:cs="Times New Roman PS"/>
          <w:szCs w:val="18"/>
        </w:rPr>
        <w:fldChar w:fldCharType="end"/>
      </w:r>
      <w:r w:rsidRPr="00F155BE">
        <w:rPr>
          <w:rStyle w:val="NoterefInNote"/>
        </w:rPr>
        <w:footnoteRef/>
      </w:r>
      <w:r>
        <w:rPr>
          <w:rFonts w:cs="Times New Roman PS"/>
          <w:szCs w:val="18"/>
        </w:rPr>
        <w:fldChar w:fldCharType="begin"/>
      </w:r>
      <w:r>
        <w:rPr>
          <w:rFonts w:cs="Times New Roman PS"/>
          <w:szCs w:val="18"/>
        </w:rPr>
        <w:instrText xml:space="preserve"> ADVANCE \r4 \* MERGEFORMAT </w:instrText>
      </w:r>
      <w:r>
        <w:rPr>
          <w:rFonts w:cs="Times New Roman PS"/>
          <w:szCs w:val="18"/>
        </w:rPr>
        <w:fldChar w:fldCharType="end"/>
      </w:r>
      <w:r>
        <w:rPr>
          <w:rFonts w:cs="Times New Roman PS"/>
          <w:i/>
          <w:szCs w:val="18"/>
        </w:rPr>
        <w:t xml:space="preserve">See </w:t>
      </w:r>
      <w:r w:rsidRPr="00B24BC3">
        <w:rPr>
          <w:rFonts w:cs="Times New Roman PS"/>
          <w:szCs w:val="18"/>
        </w:rPr>
        <w:t xml:space="preserve">Walker,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_Ref21080132 \h </w:instrText>
      </w:r>
      <w:r w:rsidRPr="00B24BC3">
        <w:rPr>
          <w:rFonts w:cs="Times New Roman PS"/>
          <w:szCs w:val="18"/>
        </w:rPr>
      </w:r>
      <w:r w:rsidRPr="00B24BC3">
        <w:rPr>
          <w:rFonts w:cs="Times New Roman PS"/>
          <w:szCs w:val="18"/>
        </w:rPr>
        <w:fldChar w:fldCharType="separate"/>
      </w:r>
      <w:r w:rsidR="005C51FD">
        <w:rPr>
          <w:rFonts w:cs="Times New Roman PS"/>
          <w:szCs w:val="18"/>
        </w:rPr>
        <w:t>43</w:t>
      </w:r>
      <w:r w:rsidRPr="00B24BC3">
        <w:rPr>
          <w:rFonts w:cs="Times New Roman PS"/>
          <w:szCs w:val="18"/>
        </w:rPr>
        <w:fldChar w:fldCharType="end"/>
      </w:r>
      <w:r w:rsidRPr="00B24BC3">
        <w:rPr>
          <w:rFonts w:cs="Times New Roman PS"/>
          <w:szCs w:val="18"/>
        </w:rPr>
        <w:t>, at 396.</w:t>
      </w:r>
    </w:p>
  </w:footnote>
  <w:footnote w:id="89">
    <w:p w14:paraId="7A81546A" w14:textId="1D825344"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Elhauge,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_Ref19042588 \h </w:instrText>
      </w:r>
      <w:r>
        <w:rPr>
          <w:rFonts w:cs="Times New Roman PS"/>
        </w:rPr>
      </w:r>
      <w:r>
        <w:rPr>
          <w:rFonts w:cs="Times New Roman PS"/>
        </w:rPr>
        <w:fldChar w:fldCharType="separate"/>
      </w:r>
      <w:r w:rsidR="005C51FD">
        <w:rPr>
          <w:rFonts w:cs="Times New Roman PS"/>
        </w:rPr>
        <w:t>1</w:t>
      </w:r>
      <w:r>
        <w:rPr>
          <w:rFonts w:cs="Times New Roman PS"/>
        </w:rPr>
        <w:fldChar w:fldCharType="end"/>
      </w:r>
      <w:r w:rsidRPr="00E847CF">
        <w:rPr>
          <w:rFonts w:cs="Times New Roman PS"/>
        </w:rPr>
        <w:t>, at 1278-81.</w:t>
      </w:r>
    </w:p>
  </w:footnote>
  <w:footnote w:id="90">
    <w:p w14:paraId="4E906536" w14:textId="3F9D4179"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sidRPr="00B24BC3">
        <w:rPr>
          <w:rFonts w:cs="Times New Roman PS"/>
          <w:i/>
          <w:szCs w:val="18"/>
        </w:rPr>
        <w:t xml:space="preserve">See supra </w:t>
      </w:r>
      <w:r w:rsidRPr="00B24BC3">
        <w:rPr>
          <w:rFonts w:cs="Times New Roman PS"/>
          <w:szCs w:val="18"/>
        </w:rPr>
        <w:t xml:space="preserve">text accompanying notes </w:t>
      </w:r>
      <w:r>
        <w:rPr>
          <w:rFonts w:cs="Times New Roman PS"/>
          <w:szCs w:val="18"/>
        </w:rPr>
        <w:fldChar w:fldCharType="begin"/>
      </w:r>
      <w:r>
        <w:rPr>
          <w:rFonts w:cs="Times New Roman PS"/>
          <w:szCs w:val="18"/>
        </w:rPr>
        <w:instrText xml:space="preserve"> NOTEREF _Ref19690496 \h </w:instrText>
      </w:r>
      <w:r>
        <w:rPr>
          <w:rFonts w:cs="Times New Roman PS"/>
          <w:szCs w:val="18"/>
        </w:rPr>
      </w:r>
      <w:r>
        <w:rPr>
          <w:rFonts w:cs="Times New Roman PS"/>
          <w:szCs w:val="18"/>
        </w:rPr>
        <w:fldChar w:fldCharType="separate"/>
      </w:r>
      <w:r w:rsidR="005C51FD">
        <w:rPr>
          <w:rFonts w:cs="Times New Roman PS"/>
          <w:szCs w:val="18"/>
        </w:rPr>
        <w:t>59</w:t>
      </w:r>
      <w:r>
        <w:rPr>
          <w:rFonts w:cs="Times New Roman PS"/>
          <w:szCs w:val="18"/>
        </w:rPr>
        <w:fldChar w:fldCharType="end"/>
      </w:r>
      <w:r w:rsidRPr="00B24BC3">
        <w:rPr>
          <w:rFonts w:cs="Times New Roman PS"/>
          <w:szCs w:val="18"/>
        </w:rPr>
        <w:t>-</w:t>
      </w:r>
      <w:r>
        <w:rPr>
          <w:rFonts w:cs="Times New Roman PS"/>
          <w:szCs w:val="18"/>
        </w:rPr>
        <w:fldChar w:fldCharType="begin"/>
      </w:r>
      <w:r>
        <w:rPr>
          <w:rFonts w:cs="Times New Roman PS"/>
          <w:szCs w:val="18"/>
        </w:rPr>
        <w:instrText xml:space="preserve"> NOTEREF _Ref22239885 \h </w:instrText>
      </w:r>
      <w:r>
        <w:rPr>
          <w:rFonts w:cs="Times New Roman PS"/>
          <w:szCs w:val="18"/>
        </w:rPr>
      </w:r>
      <w:r>
        <w:rPr>
          <w:rFonts w:cs="Times New Roman PS"/>
          <w:szCs w:val="18"/>
        </w:rPr>
        <w:fldChar w:fldCharType="separate"/>
      </w:r>
      <w:r w:rsidR="005C51FD">
        <w:rPr>
          <w:rFonts w:cs="Times New Roman PS"/>
          <w:szCs w:val="18"/>
        </w:rPr>
        <w:t>68</w:t>
      </w:r>
      <w:r>
        <w:rPr>
          <w:rFonts w:cs="Times New Roman PS"/>
          <w:szCs w:val="18"/>
        </w:rPr>
        <w:fldChar w:fldCharType="end"/>
      </w:r>
      <w:r w:rsidRPr="00B24BC3">
        <w:rPr>
          <w:rFonts w:cs="Times New Roman PS"/>
          <w:szCs w:val="18"/>
        </w:rPr>
        <w:t>.</w:t>
      </w:r>
    </w:p>
  </w:footnote>
  <w:footnote w:id="91">
    <w:p w14:paraId="7D49678A" w14:textId="5EEDDD1F" w:rsidR="00051004" w:rsidRPr="00E847CF" w:rsidRDefault="00051004" w:rsidP="009225C9">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Common</w:t>
      </w:r>
      <w:r>
        <w:rPr>
          <w:rFonts w:cs="Times New Roman PS"/>
        </w:rPr>
        <w:t xml:space="preserve"> </w:t>
      </w:r>
      <w:r w:rsidRPr="00E847CF">
        <w:rPr>
          <w:rFonts w:cs="Times New Roman PS"/>
        </w:rPr>
        <w:t xml:space="preserve">ownership data is based on Liang,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at 30</w:t>
      </w:r>
      <w:r>
        <w:rPr>
          <w:rFonts w:cs="Times New Roman PS"/>
        </w:rPr>
        <w:t xml:space="preserve">, and </w:t>
      </w:r>
      <w:r w:rsidRPr="00E847CF">
        <w:rPr>
          <w:rFonts w:cs="Times New Roman PS"/>
        </w:rPr>
        <w:t>represent</w:t>
      </w:r>
      <w:r>
        <w:rPr>
          <w:rFonts w:cs="Times New Roman PS"/>
        </w:rPr>
        <w:t>s</w:t>
      </w:r>
      <w:r w:rsidRPr="00E847CF">
        <w:rPr>
          <w:rFonts w:cs="Times New Roman PS"/>
        </w:rPr>
        <w:t xml:space="preserve"> the fraction of ExecuComp companies that share at least one common blockholder with another company in the same industry.</w:t>
      </w:r>
      <w:r>
        <w:rPr>
          <w:rFonts w:cs="Times New Roman PS"/>
        </w:rPr>
        <w:t xml:space="preserve"> </w:t>
      </w:r>
      <w:r w:rsidRPr="00E847CF">
        <w:rPr>
          <w:rFonts w:cs="Times New Roman PS"/>
        </w:rPr>
        <w:t>Compustat</w:t>
      </w:r>
      <w:r>
        <w:rPr>
          <w:rFonts w:cs="Times New Roman PS"/>
        </w:rPr>
        <w:t>’</w:t>
      </w:r>
      <w:r w:rsidRPr="00E847CF">
        <w:rPr>
          <w:rFonts w:cs="Times New Roman PS"/>
        </w:rPr>
        <w:t>s ExecuComp database compiles senior executive pay data from proxy statements of approximately 2200 of the largest U.S. public companies each year.</w:t>
      </w:r>
      <w:r>
        <w:rPr>
          <w:rFonts w:cs="Times New Roman PS"/>
        </w:rPr>
        <w:t xml:space="preserve"> </w:t>
      </w:r>
      <w:r>
        <w:rPr>
          <w:rFonts w:cs="Times New Roman PS"/>
          <w:i/>
        </w:rPr>
        <w:t xml:space="preserve">See </w:t>
      </w:r>
      <w:r w:rsidRPr="00E847CF">
        <w:rPr>
          <w:rFonts w:cs="Times New Roman PS"/>
        </w:rPr>
        <w:t xml:space="preserve">DeSimone,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at 10.</w:t>
      </w:r>
      <w:r>
        <w:rPr>
          <w:rFonts w:cs="Times New Roman PS"/>
        </w:rPr>
        <w:t xml:space="preserve"> RPE-</w:t>
      </w:r>
      <w:r w:rsidRPr="00E847CF">
        <w:rPr>
          <w:rFonts w:cs="Times New Roman PS"/>
        </w:rPr>
        <w:t>use</w:t>
      </w:r>
      <w:r>
        <w:rPr>
          <w:rFonts w:cs="Times New Roman PS"/>
        </w:rPr>
        <w:t xml:space="preserve"> </w:t>
      </w:r>
      <w:r w:rsidRPr="00E847CF">
        <w:rPr>
          <w:rFonts w:cs="Times New Roman PS"/>
        </w:rPr>
        <w:t xml:space="preserve">data is based on DeSimone,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w:t>
      </w:r>
      <w:r w:rsidRPr="00E847CF">
        <w:rPr>
          <w:rFonts w:cs="Times New Roman PS"/>
        </w:rPr>
        <w:t xml:space="preserve"> at 34, and represents the fraction of ISS Incentive Lab companies that issue at least one long-term performance award incorporating an RPE metric each year</w:t>
      </w:r>
      <w:r>
        <w:rPr>
          <w:rFonts w:cs="Times New Roman PS"/>
        </w:rPr>
        <w:t>.</w:t>
      </w:r>
    </w:p>
  </w:footnote>
  <w:footnote w:id="92">
    <w:p w14:paraId="0B8F92FE" w14:textId="156FEE3C" w:rsidR="00051004" w:rsidRPr="00B24BC3" w:rsidRDefault="00051004" w:rsidP="00B24BC3">
      <w:pPr>
        <w:pStyle w:val="FootNote"/>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Azar</w:t>
      </w:r>
      <w:r>
        <w:rPr>
          <w:rFonts w:cs="Times New Roman PS"/>
        </w:rPr>
        <w:t>, Schmalz &amp; Tecu</w:t>
      </w:r>
      <w:r w:rsidRPr="00B24BC3">
        <w:rPr>
          <w:rFonts w:cs="Times New Roman PS"/>
          <w:szCs w:val="18"/>
        </w:rPr>
        <w:t xml:space="preserve">,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_Ref19618291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3</w:t>
      </w:r>
      <w:r w:rsidRPr="00B24BC3">
        <w:rPr>
          <w:rFonts w:cs="Times New Roman PS"/>
          <w:szCs w:val="18"/>
        </w:rPr>
        <w:fldChar w:fldCharType="end"/>
      </w:r>
      <w:r w:rsidRPr="00B24BC3">
        <w:rPr>
          <w:rFonts w:cs="Times New Roman PS"/>
          <w:szCs w:val="18"/>
        </w:rPr>
        <w:t>, at 1556-58.</w:t>
      </w:r>
    </w:p>
  </w:footnote>
  <w:footnote w:id="93">
    <w:p w14:paraId="1E06E01C" w14:textId="4785AFAC" w:rsidR="00051004" w:rsidRPr="00B24BC3" w:rsidRDefault="00051004" w:rsidP="00B24BC3">
      <w:pPr>
        <w:pStyle w:val="FootNote"/>
      </w:pPr>
      <w:r>
        <w:rPr>
          <w:i/>
          <w:szCs w:val="18"/>
        </w:rPr>
        <w:fldChar w:fldCharType="begin"/>
      </w:r>
      <w:r>
        <w:rPr>
          <w:i/>
          <w:szCs w:val="18"/>
        </w:rPr>
        <w:instrText xml:space="preserve"> ADVANCE \r10 \* MERGEFORMAT </w:instrText>
      </w:r>
      <w:r>
        <w:rPr>
          <w:i/>
          <w:szCs w:val="18"/>
        </w:rPr>
        <w:fldChar w:fldCharType="end"/>
      </w:r>
      <w:r w:rsidRPr="00F155BE">
        <w:rPr>
          <w:rStyle w:val="NoterefInNote"/>
        </w:rPr>
        <w:footnoteRef/>
      </w:r>
      <w:r>
        <w:rPr>
          <w:i/>
          <w:szCs w:val="18"/>
        </w:rPr>
        <w:fldChar w:fldCharType="begin"/>
      </w:r>
      <w:r>
        <w:rPr>
          <w:i/>
          <w:szCs w:val="18"/>
        </w:rPr>
        <w:instrText xml:space="preserve"> ADVANCE \r4 \* MERGEFORMAT </w:instrText>
      </w:r>
      <w:r>
        <w:rPr>
          <w:i/>
          <w:szCs w:val="18"/>
        </w:rPr>
        <w:fldChar w:fldCharType="end"/>
      </w:r>
      <w:r>
        <w:rPr>
          <w:i/>
          <w:szCs w:val="18"/>
        </w:rPr>
        <w:t>See id.</w:t>
      </w:r>
    </w:p>
  </w:footnote>
  <w:footnote w:id="94">
    <w:p w14:paraId="08D050BE" w14:textId="045B2EB7"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To be sure, ISS and Glass Lewis gauge performance relative to a select peer group of companies, but it seems likely that companies would get some credit for RPE based on a broad market index.</w:t>
      </w:r>
      <w:r>
        <w:rPr>
          <w:rFonts w:cs="Times New Roman PS"/>
        </w:rPr>
        <w:t xml:space="preserve"> </w:t>
      </w:r>
      <w:r w:rsidRPr="00E847CF">
        <w:rPr>
          <w:rFonts w:cs="Times New Roman PS"/>
          <w:i/>
        </w:rPr>
        <w:t>See</w:t>
      </w:r>
      <w:r w:rsidRPr="00E847CF">
        <w:rPr>
          <w:rFonts w:cs="Times New Roman PS"/>
        </w:rPr>
        <w:t xml:space="preserve"> </w:t>
      </w:r>
      <w:r>
        <w:rPr>
          <w:rFonts w:cs="Times New Roman PS"/>
          <w:i/>
        </w:rPr>
        <w:t xml:space="preserve">supra </w:t>
      </w:r>
      <w:r>
        <w:rPr>
          <w:rFonts w:cs="Times New Roman PS"/>
        </w:rPr>
        <w:t xml:space="preserve">text accompanying </w:t>
      </w:r>
      <w:r w:rsidRPr="00E847CF">
        <w:rPr>
          <w:rFonts w:cs="Times New Roman PS"/>
        </w:rPr>
        <w:t xml:space="preserve">notes </w:t>
      </w:r>
      <w:r>
        <w:rPr>
          <w:rFonts w:cs="Times New Roman PS"/>
        </w:rPr>
        <w:fldChar w:fldCharType="begin"/>
      </w:r>
      <w:r>
        <w:rPr>
          <w:rFonts w:cs="Times New Roman PS"/>
        </w:rPr>
        <w:instrText xml:space="preserve"> NOTEREF _Ref21087584 \h </w:instrText>
      </w:r>
      <w:r>
        <w:rPr>
          <w:rFonts w:cs="Times New Roman PS"/>
        </w:rPr>
      </w:r>
      <w:r>
        <w:rPr>
          <w:rFonts w:cs="Times New Roman PS"/>
        </w:rPr>
        <w:fldChar w:fldCharType="separate"/>
      </w:r>
      <w:r w:rsidR="005C51FD">
        <w:rPr>
          <w:rFonts w:cs="Times New Roman PS"/>
        </w:rPr>
        <w:t>77</w:t>
      </w:r>
      <w:r>
        <w:rPr>
          <w:rFonts w:cs="Times New Roman PS"/>
        </w:rPr>
        <w:fldChar w:fldCharType="end"/>
      </w:r>
      <w:r w:rsidRPr="00E847CF">
        <w:rPr>
          <w:rFonts w:cs="Times New Roman PS"/>
        </w:rPr>
        <w:t>-</w:t>
      </w:r>
      <w:r>
        <w:rPr>
          <w:rFonts w:cs="Times New Roman PS"/>
        </w:rPr>
        <w:fldChar w:fldCharType="begin"/>
      </w:r>
      <w:r>
        <w:rPr>
          <w:rFonts w:cs="Times New Roman PS"/>
        </w:rPr>
        <w:instrText xml:space="preserve"> NOTEREF _Ref19110845 \h </w:instrText>
      </w:r>
      <w:r>
        <w:rPr>
          <w:rFonts w:cs="Times New Roman PS"/>
        </w:rPr>
      </w:r>
      <w:r>
        <w:rPr>
          <w:rFonts w:cs="Times New Roman PS"/>
        </w:rPr>
        <w:fldChar w:fldCharType="separate"/>
      </w:r>
      <w:r w:rsidR="005C51FD">
        <w:rPr>
          <w:rFonts w:cs="Times New Roman PS"/>
        </w:rPr>
        <w:t>81</w:t>
      </w:r>
      <w:r>
        <w:rPr>
          <w:rFonts w:cs="Times New Roman PS"/>
        </w:rPr>
        <w:fldChar w:fldCharType="end"/>
      </w:r>
      <w:r w:rsidRPr="00E847CF">
        <w:rPr>
          <w:rFonts w:cs="Times New Roman PS"/>
        </w:rPr>
        <w:t>.</w:t>
      </w:r>
    </w:p>
  </w:footnote>
  <w:footnote w:id="95">
    <w:p w14:paraId="3AB62FD6" w14:textId="6CD03316"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sidRPr="00B24BC3">
        <w:rPr>
          <w:rFonts w:cs="Times New Roman PS"/>
          <w:i/>
          <w:szCs w:val="18"/>
        </w:rPr>
        <w:t>See</w:t>
      </w:r>
      <w:r w:rsidRPr="00B24BC3">
        <w:rPr>
          <w:rFonts w:cs="Times New Roman PS"/>
          <w:szCs w:val="18"/>
        </w:rPr>
        <w:t xml:space="preserve"> </w:t>
      </w:r>
      <w:r w:rsidRPr="00B24BC3">
        <w:rPr>
          <w:rFonts w:cs="Times New Roman PS"/>
          <w:i/>
          <w:szCs w:val="18"/>
        </w:rPr>
        <w:t>supra</w:t>
      </w:r>
      <w:r w:rsidRPr="00B24BC3">
        <w:rPr>
          <w:rFonts w:cs="Times New Roman PS"/>
          <w:szCs w:val="18"/>
        </w:rPr>
        <w:t xml:space="preserve"> Section II.A.</w:t>
      </w:r>
    </w:p>
  </w:footnote>
  <w:footnote w:id="96">
    <w:p w14:paraId="7A560206" w14:textId="7E3EEEE7"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w:t>
      </w:r>
      <w:r>
        <w:rPr>
          <w:rFonts w:cs="Times New Roman PS"/>
          <w:i/>
        </w:rPr>
        <w:t xml:space="preserve">supra </w:t>
      </w:r>
      <w:r>
        <w:rPr>
          <w:rFonts w:cs="Times New Roman PS"/>
        </w:rPr>
        <w:t xml:space="preserve">text accompanying </w:t>
      </w:r>
      <w:r w:rsidRPr="00E847CF">
        <w:rPr>
          <w:rFonts w:cs="Times New Roman PS"/>
        </w:rPr>
        <w:t xml:space="preserve">note </w:t>
      </w:r>
      <w:r>
        <w:rPr>
          <w:rFonts w:cs="Times New Roman PS"/>
        </w:rPr>
        <w:fldChar w:fldCharType="begin"/>
      </w:r>
      <w:r>
        <w:rPr>
          <w:rFonts w:cs="Times New Roman PS"/>
        </w:rPr>
        <w:instrText xml:space="preserve"> NOTEREF _Ref19042183 \h </w:instrText>
      </w:r>
      <w:r>
        <w:rPr>
          <w:rFonts w:cs="Times New Roman PS"/>
        </w:rPr>
      </w:r>
      <w:r>
        <w:rPr>
          <w:rFonts w:cs="Times New Roman PS"/>
        </w:rPr>
        <w:fldChar w:fldCharType="separate"/>
      </w:r>
      <w:r w:rsidR="005C51FD">
        <w:rPr>
          <w:rFonts w:cs="Times New Roman PS"/>
        </w:rPr>
        <w:t>65</w:t>
      </w:r>
      <w:r>
        <w:rPr>
          <w:rFonts w:cs="Times New Roman PS"/>
        </w:rPr>
        <w:fldChar w:fldCharType="end"/>
      </w:r>
      <w:r w:rsidRPr="00E847CF">
        <w:rPr>
          <w:rFonts w:cs="Times New Roman PS"/>
        </w:rPr>
        <w:t>.</w:t>
      </w:r>
    </w:p>
  </w:footnote>
  <w:footnote w:id="97">
    <w:p w14:paraId="5098A5DA" w14:textId="24DFEE58"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supra</w:t>
      </w:r>
      <w:r w:rsidRPr="00E847CF">
        <w:rPr>
          <w:rFonts w:cs="Times New Roman PS"/>
        </w:rPr>
        <w:t xml:space="preserve"> </w:t>
      </w:r>
      <w:r>
        <w:rPr>
          <w:rFonts w:cs="Times New Roman PS"/>
        </w:rPr>
        <w:t>Section</w:t>
      </w:r>
      <w:r w:rsidRPr="00E847CF">
        <w:rPr>
          <w:rFonts w:cs="Times New Roman PS"/>
        </w:rPr>
        <w:t xml:space="preserve"> II.A.</w:t>
      </w:r>
    </w:p>
  </w:footnote>
  <w:footnote w:id="98">
    <w:p w14:paraId="0B1F77D6" w14:textId="3283AB5C"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Bizjak, Kalpathy, Li</w:t>
      </w:r>
      <w:r>
        <w:rPr>
          <w:rFonts w:cs="Times New Roman PS"/>
        </w:rPr>
        <w:t>,</w:t>
      </w:r>
      <w:r w:rsidRPr="00E847CF">
        <w:rPr>
          <w:rFonts w:cs="Times New Roman PS"/>
        </w:rPr>
        <w:t xml:space="preserve"> and Young find that</w:t>
      </w:r>
      <w:r>
        <w:rPr>
          <w:rFonts w:cs="Times New Roman PS"/>
        </w:rPr>
        <w:t>,</w:t>
      </w:r>
      <w:r w:rsidRPr="00E847CF">
        <w:rPr>
          <w:rFonts w:cs="Times New Roman PS"/>
        </w:rPr>
        <w:t xml:space="preserve"> for ISS Incentive Lab companies that use a select peer group, the average (median) number of companies in the group is 16.6 (15) and that the number of peers at the </w:t>
      </w:r>
      <w:r>
        <w:rPr>
          <w:rFonts w:cs="Times New Roman PS"/>
        </w:rPr>
        <w:t xml:space="preserve">25th </w:t>
      </w:r>
      <w:r w:rsidRPr="00E847CF">
        <w:rPr>
          <w:rFonts w:cs="Times New Roman PS"/>
        </w:rPr>
        <w:t>and 75</w:t>
      </w:r>
      <w:r>
        <w:rPr>
          <w:rFonts w:cs="Times New Roman PS"/>
        </w:rPr>
        <w:t>th</w:t>
      </w:r>
      <w:r w:rsidRPr="00E847CF">
        <w:rPr>
          <w:rFonts w:cs="Times New Roman PS"/>
        </w:rPr>
        <w:t xml:space="preserve"> percentiles are </w:t>
      </w:r>
      <w:r>
        <w:rPr>
          <w:rFonts w:cs="Times New Roman PS"/>
        </w:rPr>
        <w:t>11</w:t>
      </w:r>
      <w:r w:rsidRPr="00E847CF">
        <w:rPr>
          <w:rFonts w:cs="Times New Roman PS"/>
        </w:rPr>
        <w:t xml:space="preserve"> and </w:t>
      </w:r>
      <w:r>
        <w:rPr>
          <w:rFonts w:cs="Times New Roman PS"/>
        </w:rPr>
        <w:t>20</w:t>
      </w:r>
      <w:r w:rsidRPr="00E847CF">
        <w:rPr>
          <w:rFonts w:cs="Times New Roman PS"/>
        </w:rPr>
        <w:t>.</w:t>
      </w:r>
      <w:r>
        <w:rPr>
          <w:rFonts w:cs="Times New Roman PS"/>
        </w:rPr>
        <w:t xml:space="preserve"> </w:t>
      </w:r>
      <w:r>
        <w:rPr>
          <w:rFonts w:cs="Times New Roman PS"/>
          <w:i/>
        </w:rPr>
        <w:t xml:space="preserve">See </w:t>
      </w:r>
      <w:r w:rsidRPr="00E847CF">
        <w:rPr>
          <w:rFonts w:cs="Times New Roman PS"/>
        </w:rPr>
        <w:t>Bizjak et al</w:t>
      </w:r>
      <w:r>
        <w:rPr>
          <w:rFonts w:cs="Times New Roman PS"/>
        </w:rPr>
        <w:t>.</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_Ref19042183 \h </w:instrText>
      </w:r>
      <w:r>
        <w:rPr>
          <w:rFonts w:cs="Times New Roman PS"/>
        </w:rPr>
      </w:r>
      <w:r>
        <w:rPr>
          <w:rFonts w:cs="Times New Roman PS"/>
        </w:rPr>
        <w:fldChar w:fldCharType="separate"/>
      </w:r>
      <w:r w:rsidR="005C51FD">
        <w:rPr>
          <w:rFonts w:cs="Times New Roman PS"/>
        </w:rPr>
        <w:t>65</w:t>
      </w:r>
      <w:r>
        <w:rPr>
          <w:rFonts w:cs="Times New Roman PS"/>
        </w:rPr>
        <w:fldChar w:fldCharType="end"/>
      </w:r>
      <w:r w:rsidRPr="00E847CF">
        <w:rPr>
          <w:rFonts w:cs="Times New Roman PS"/>
        </w:rPr>
        <w:t>, at 15.</w:t>
      </w:r>
    </w:p>
  </w:footnote>
  <w:footnote w:id="99">
    <w:p w14:paraId="514505D6" w14:textId="4374D4C1"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i/>
        </w:rPr>
        <w:t>See id.</w:t>
      </w:r>
    </w:p>
  </w:footnote>
  <w:footnote w:id="100">
    <w:p w14:paraId="5FFDCC51" w14:textId="59770E74"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Schmalz,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_Ref19210478 \h </w:instrText>
      </w:r>
      <w:r>
        <w:rPr>
          <w:rFonts w:cs="Times New Roman PS"/>
        </w:rPr>
      </w:r>
      <w:r>
        <w:rPr>
          <w:rFonts w:cs="Times New Roman PS"/>
        </w:rPr>
        <w:fldChar w:fldCharType="separate"/>
      </w:r>
      <w:r w:rsidR="005C51FD">
        <w:rPr>
          <w:rFonts w:cs="Times New Roman PS"/>
        </w:rPr>
        <w:t>41</w:t>
      </w:r>
      <w:r>
        <w:rPr>
          <w:rFonts w:cs="Times New Roman PS"/>
        </w:rPr>
        <w:fldChar w:fldCharType="end"/>
      </w:r>
      <w:r w:rsidRPr="00E847CF">
        <w:rPr>
          <w:rFonts w:cs="Times New Roman PS"/>
        </w:rPr>
        <w:t>.</w:t>
      </w:r>
    </w:p>
  </w:footnote>
  <w:footnote w:id="101">
    <w:p w14:paraId="269416A5" w14:textId="096C36F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Bizjak et al</w:t>
      </w:r>
      <w:r>
        <w:rPr>
          <w:rFonts w:cs="Times New Roman PS"/>
        </w:rPr>
        <w:t>.</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_Ref19042183 \h </w:instrText>
      </w:r>
      <w:r>
        <w:rPr>
          <w:rFonts w:cs="Times New Roman PS"/>
        </w:rPr>
      </w:r>
      <w:r>
        <w:rPr>
          <w:rFonts w:cs="Times New Roman PS"/>
        </w:rPr>
        <w:fldChar w:fldCharType="separate"/>
      </w:r>
      <w:r w:rsidR="005C51FD">
        <w:rPr>
          <w:rFonts w:cs="Times New Roman PS"/>
        </w:rPr>
        <w:t>65</w:t>
      </w:r>
      <w:r>
        <w:rPr>
          <w:rFonts w:cs="Times New Roman PS"/>
        </w:rPr>
        <w:fldChar w:fldCharType="end"/>
      </w:r>
      <w:r w:rsidRPr="00E847CF">
        <w:rPr>
          <w:rFonts w:cs="Times New Roman PS"/>
        </w:rPr>
        <w:t>, at 15</w:t>
      </w:r>
      <w:r>
        <w:rPr>
          <w:rFonts w:cs="Times New Roman PS"/>
        </w:rPr>
        <w:t>.</w:t>
      </w:r>
    </w:p>
  </w:footnote>
  <w:footnote w:id="102">
    <w:p w14:paraId="10DF1D18" w14:textId="0626A64A"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 xml:space="preserve">See generally </w:t>
      </w:r>
      <w:r>
        <w:rPr>
          <w:rFonts w:cs="Times New Roman PS"/>
        </w:rPr>
        <w:t xml:space="preserve">AEGS (2016),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_Ref19210956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Pr>
          <w:rFonts w:cs="Times New Roman PS"/>
        </w:rPr>
        <w:t xml:space="preserve">; AEGS (2018), </w:t>
      </w:r>
      <w:r>
        <w:rPr>
          <w:rFonts w:cs="Times New Roman PS"/>
          <w:i/>
        </w:rPr>
        <w:t xml:space="preserve">supra </w:t>
      </w:r>
      <w:r>
        <w:rPr>
          <w:rFonts w:cs="Times New Roman PS"/>
        </w:rPr>
        <w:t xml:space="preserve">note </w:t>
      </w:r>
      <w:r>
        <w:rPr>
          <w:rFonts w:cs="Times New Roman PS"/>
        </w:rPr>
        <w:fldChar w:fldCharType="begin"/>
      </w:r>
      <w:r>
        <w:rPr>
          <w:rFonts w:cs="Times New Roman PS"/>
        </w:rPr>
        <w:instrText xml:space="preserve"> NOTEREF _Ref19210956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Pr>
          <w:rFonts w:cs="Times New Roman PS"/>
        </w:rPr>
        <w:t>.</w:t>
      </w:r>
    </w:p>
  </w:footnote>
  <w:footnote w:id="103">
    <w:p w14:paraId="6142233B" w14:textId="09478128"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 xml:space="preserve">See generally </w:t>
      </w:r>
      <w:r>
        <w:rPr>
          <w:rFonts w:cs="Times New Roman PS"/>
        </w:rPr>
        <w:t>DeSimone,</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xml:space="preserve">; Kwon,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xml:space="preserve">; Liang,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w:t>
      </w:r>
    </w:p>
  </w:footnote>
  <w:footnote w:id="104">
    <w:p w14:paraId="414E7A8E" w14:textId="392857CF" w:rsidR="00051004" w:rsidRPr="00B24BC3" w:rsidRDefault="00051004" w:rsidP="00B24BC3">
      <w:pPr>
        <w:pStyle w:val="FootNote"/>
      </w:pPr>
      <w:r>
        <w:rPr>
          <w:rFonts w:cs="Times New Roman PS"/>
          <w:szCs w:val="18"/>
        </w:rPr>
        <w:fldChar w:fldCharType="begin"/>
      </w:r>
      <w:r>
        <w:rPr>
          <w:rFonts w:cs="Times New Roman PS"/>
          <w:szCs w:val="18"/>
        </w:rPr>
        <w:instrText xml:space="preserve"> ADVANCE \r10 \* MERGEFORMAT </w:instrText>
      </w:r>
      <w:r>
        <w:rPr>
          <w:rFonts w:cs="Times New Roman PS"/>
          <w:szCs w:val="18"/>
        </w:rPr>
        <w:fldChar w:fldCharType="end"/>
      </w:r>
      <w:r w:rsidRPr="00F155BE">
        <w:rPr>
          <w:rStyle w:val="NoterefInNote"/>
        </w:rPr>
        <w:footnoteRef/>
      </w:r>
      <w:r>
        <w:rPr>
          <w:rFonts w:cs="Times New Roman PS"/>
          <w:szCs w:val="18"/>
        </w:rPr>
        <w:fldChar w:fldCharType="begin"/>
      </w:r>
      <w:r>
        <w:rPr>
          <w:rFonts w:cs="Times New Roman PS"/>
          <w:szCs w:val="18"/>
        </w:rPr>
        <w:instrText xml:space="preserve"> ADVANCE \r4 \* MERGEFORMAT </w:instrText>
      </w:r>
      <w:r>
        <w:rPr>
          <w:rFonts w:cs="Times New Roman PS"/>
          <w:szCs w:val="18"/>
        </w:rPr>
        <w:fldChar w:fldCharType="end"/>
      </w:r>
      <w:r>
        <w:rPr>
          <w:rFonts w:cs="Times New Roman PS"/>
          <w:i/>
          <w:szCs w:val="18"/>
        </w:rPr>
        <w:t xml:space="preserve">See </w:t>
      </w:r>
      <w:r w:rsidRPr="00B24BC3">
        <w:rPr>
          <w:rFonts w:cs="Times New Roman PS"/>
          <w:szCs w:val="18"/>
        </w:rPr>
        <w:t xml:space="preserve">AEGS (2016),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_Ref19210956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5</w:t>
      </w:r>
      <w:r w:rsidRPr="00B24BC3">
        <w:rPr>
          <w:rFonts w:cs="Times New Roman PS"/>
          <w:szCs w:val="18"/>
        </w:rPr>
        <w:fldChar w:fldCharType="end"/>
      </w:r>
      <w:r w:rsidRPr="00B24BC3">
        <w:rPr>
          <w:rFonts w:cs="Times New Roman PS"/>
          <w:szCs w:val="18"/>
        </w:rPr>
        <w:t xml:space="preserve">, at 54; DeSimone,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_Ref19108320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6</w:t>
      </w:r>
      <w:r w:rsidRPr="00B24BC3">
        <w:rPr>
          <w:rFonts w:cs="Times New Roman PS"/>
          <w:szCs w:val="18"/>
        </w:rPr>
        <w:fldChar w:fldCharType="end"/>
      </w:r>
      <w:r>
        <w:rPr>
          <w:rFonts w:cs="Times New Roman PS"/>
          <w:szCs w:val="18"/>
        </w:rPr>
        <w:t>, at 2</w:t>
      </w:r>
      <w:r w:rsidRPr="00B24BC3">
        <w:rPr>
          <w:rFonts w:cs="Times New Roman PS"/>
          <w:szCs w:val="18"/>
        </w:rPr>
        <w:t xml:space="preserve">; Kwon,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_Ref19108320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6</w:t>
      </w:r>
      <w:r w:rsidRPr="00B24BC3">
        <w:rPr>
          <w:rFonts w:cs="Times New Roman PS"/>
          <w:szCs w:val="18"/>
        </w:rPr>
        <w:fldChar w:fldCharType="end"/>
      </w:r>
      <w:r w:rsidRPr="00B24BC3">
        <w:rPr>
          <w:rFonts w:cs="Times New Roman PS"/>
          <w:szCs w:val="18"/>
        </w:rPr>
        <w:t xml:space="preserve">, at 34; Liang,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_Ref19108320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6</w:t>
      </w:r>
      <w:r w:rsidRPr="00B24BC3">
        <w:rPr>
          <w:rFonts w:cs="Times New Roman PS"/>
          <w:szCs w:val="18"/>
        </w:rPr>
        <w:fldChar w:fldCharType="end"/>
      </w:r>
      <w:r w:rsidRPr="00B24BC3">
        <w:rPr>
          <w:rFonts w:cs="Times New Roman PS"/>
          <w:szCs w:val="18"/>
        </w:rPr>
        <w:t>, at 25.</w:t>
      </w:r>
    </w:p>
  </w:footnote>
  <w:footnote w:id="105">
    <w:p w14:paraId="7AC0778B" w14:textId="3009060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AEGS (2016),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_Ref19210956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Pr>
          <w:rFonts w:cs="Times New Roman PS"/>
        </w:rPr>
        <w:t xml:space="preserve">, at 14; </w:t>
      </w:r>
      <w:r w:rsidRPr="00E847CF">
        <w:rPr>
          <w:rFonts w:cs="Times New Roman PS"/>
        </w:rPr>
        <w:t xml:space="preserve">Kwon,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at 2</w:t>
      </w:r>
      <w:r w:rsidRPr="00E847CF">
        <w:rPr>
          <w:rFonts w:cs="Times New Roman PS"/>
        </w:rPr>
        <w:t>.</w:t>
      </w:r>
      <w:r>
        <w:rPr>
          <w:rFonts w:cs="Times New Roman PS"/>
        </w:rPr>
        <w:t xml:space="preserve"> </w:t>
      </w:r>
      <w:r w:rsidRPr="00E847CF">
        <w:rPr>
          <w:rFonts w:cs="Times New Roman PS"/>
        </w:rPr>
        <w:t xml:space="preserve">DeSimone recognizes and discusses the limitations of </w:t>
      </w:r>
      <w:r>
        <w:rPr>
          <w:rFonts w:cs="Times New Roman PS"/>
        </w:rPr>
        <w:t xml:space="preserve">the </w:t>
      </w:r>
      <w:r w:rsidRPr="00E847CF">
        <w:rPr>
          <w:rFonts w:cs="Times New Roman PS"/>
        </w:rPr>
        <w:t>MHHI</w:t>
      </w:r>
      <w:r>
        <w:rPr>
          <w:rFonts w:cs="Times New Roman PS"/>
        </w:rPr>
        <w:t>,</w:t>
      </w:r>
      <w:r w:rsidRPr="00E847CF">
        <w:rPr>
          <w:rFonts w:cs="Times New Roman PS"/>
        </w:rPr>
        <w:t xml:space="preserve"> but </w:t>
      </w:r>
      <w:r>
        <w:rPr>
          <w:rFonts w:cs="Times New Roman PS"/>
        </w:rPr>
        <w:t xml:space="preserve">she </w:t>
      </w:r>
      <w:r w:rsidRPr="00E847CF">
        <w:rPr>
          <w:rFonts w:cs="Times New Roman PS"/>
        </w:rPr>
        <w:t>employs it to demonstrate that the results of AEGS (2016) and Kwon are not robust.</w:t>
      </w:r>
      <w:r>
        <w:rPr>
          <w:rFonts w:cs="Times New Roman PS"/>
        </w:rPr>
        <w:t xml:space="preserve"> </w:t>
      </w:r>
      <w:r>
        <w:rPr>
          <w:rFonts w:cs="Times New Roman PS"/>
          <w:i/>
        </w:rPr>
        <w:t xml:space="preserve">See </w:t>
      </w:r>
      <w:r w:rsidRPr="00E847CF">
        <w:rPr>
          <w:rFonts w:cs="Times New Roman PS"/>
        </w:rPr>
        <w:t xml:space="preserve">DeSimone, </w:t>
      </w:r>
      <w:r w:rsidRPr="00E847CF">
        <w:rPr>
          <w:rFonts w:cs="Times New Roman PS"/>
          <w:i/>
        </w:rPr>
        <w:t>supra</w:t>
      </w:r>
      <w:r w:rsidRPr="00E847CF">
        <w:rPr>
          <w:rFonts w:cs="Times New Roman PS"/>
        </w:rPr>
        <w:t xml:space="preserve"> note 6, at 4</w:t>
      </w:r>
      <w:r>
        <w:rPr>
          <w:rFonts w:cs="Times New Roman PS"/>
        </w:rPr>
        <w:t xml:space="preserve">. </w:t>
      </w:r>
      <w:r w:rsidRPr="00E847CF">
        <w:rPr>
          <w:rFonts w:cs="Times New Roman PS"/>
        </w:rPr>
        <w:t xml:space="preserve">Liang employs a 5% blockholder threshold in determining co-owned peers within </w:t>
      </w:r>
      <w:r>
        <w:rPr>
          <w:rFonts w:cs="Times New Roman PS"/>
        </w:rPr>
        <w:t>three</w:t>
      </w:r>
      <w:r w:rsidRPr="00E847CF">
        <w:rPr>
          <w:rFonts w:cs="Times New Roman PS"/>
        </w:rPr>
        <w:t>-digit SIC industries.</w:t>
      </w:r>
      <w:r>
        <w:rPr>
          <w:rFonts w:cs="Times New Roman PS"/>
        </w:rPr>
        <w:t xml:space="preserve"> Liang employs a 5% blockholder threshold in determining co-owned peers within three-digit SIC industries. </w:t>
      </w:r>
      <w:r>
        <w:rPr>
          <w:rFonts w:cs="Times New Roman PS"/>
          <w:i/>
        </w:rPr>
        <w:t xml:space="preserve">See </w:t>
      </w:r>
      <w:r w:rsidRPr="00E847CF">
        <w:rPr>
          <w:rFonts w:cs="Times New Roman PS"/>
        </w:rPr>
        <w:t xml:space="preserve">Liang, </w:t>
      </w:r>
      <w:r w:rsidRPr="00E847CF">
        <w:rPr>
          <w:rFonts w:cs="Times New Roman PS"/>
          <w:i/>
        </w:rPr>
        <w:t>supra</w:t>
      </w:r>
      <w:r w:rsidRPr="00E847CF">
        <w:rPr>
          <w:rFonts w:cs="Times New Roman PS"/>
        </w:rPr>
        <w:t xml:space="preserve"> note 6, at 8-</w:t>
      </w:r>
      <w:r>
        <w:rPr>
          <w:rFonts w:cs="Times New Roman PS"/>
        </w:rPr>
        <w:t>9</w:t>
      </w:r>
      <w:r w:rsidRPr="00E847CF">
        <w:rPr>
          <w:rFonts w:cs="Times New Roman PS"/>
        </w:rPr>
        <w:t>.</w:t>
      </w:r>
    </w:p>
  </w:footnote>
  <w:footnote w:id="106">
    <w:p w14:paraId="44B70728" w14:textId="0109462C"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w:t>
      </w:r>
      <w:r>
        <w:rPr>
          <w:rFonts w:cs="Times New Roman PS"/>
          <w:i/>
        </w:rPr>
        <w:t xml:space="preserve">supra </w:t>
      </w:r>
      <w:r w:rsidRPr="00E847CF">
        <w:rPr>
          <w:rFonts w:cs="Times New Roman PS"/>
        </w:rPr>
        <w:t xml:space="preserve">text </w:t>
      </w:r>
      <w:r>
        <w:rPr>
          <w:rFonts w:cs="Times New Roman PS"/>
        </w:rPr>
        <w:t>accompanying</w:t>
      </w:r>
      <w:r w:rsidRPr="00E847CF">
        <w:rPr>
          <w:rFonts w:cs="Times New Roman PS"/>
        </w:rPr>
        <w:t xml:space="preserve"> notes </w:t>
      </w:r>
      <w:r>
        <w:rPr>
          <w:rFonts w:cs="Times New Roman PS"/>
        </w:rPr>
        <w:fldChar w:fldCharType="begin"/>
      </w:r>
      <w:r>
        <w:rPr>
          <w:rFonts w:cs="Times New Roman PS"/>
        </w:rPr>
        <w:instrText xml:space="preserve"> NOTEREF _Ref19042259 \h </w:instrText>
      </w:r>
      <w:r>
        <w:rPr>
          <w:rFonts w:cs="Times New Roman PS"/>
        </w:rPr>
      </w:r>
      <w:r>
        <w:rPr>
          <w:rFonts w:cs="Times New Roman PS"/>
        </w:rPr>
        <w:fldChar w:fldCharType="separate"/>
      </w:r>
      <w:r w:rsidR="005C51FD">
        <w:rPr>
          <w:rFonts w:cs="Times New Roman PS"/>
        </w:rPr>
        <w:t>23</w:t>
      </w:r>
      <w:r>
        <w:rPr>
          <w:rFonts w:cs="Times New Roman PS"/>
        </w:rPr>
        <w:fldChar w:fldCharType="end"/>
      </w:r>
      <w:r w:rsidRPr="00E847CF">
        <w:rPr>
          <w:rFonts w:cs="Times New Roman PS"/>
        </w:rPr>
        <w:t>-</w:t>
      </w:r>
      <w:r>
        <w:rPr>
          <w:rFonts w:cs="Times New Roman PS"/>
        </w:rPr>
        <w:fldChar w:fldCharType="begin"/>
      </w:r>
      <w:r>
        <w:rPr>
          <w:rFonts w:cs="Times New Roman PS"/>
        </w:rPr>
        <w:instrText xml:space="preserve"> NOTEREF _Ref19042270 \h </w:instrText>
      </w:r>
      <w:r>
        <w:rPr>
          <w:rFonts w:cs="Times New Roman PS"/>
        </w:rPr>
      </w:r>
      <w:r>
        <w:rPr>
          <w:rFonts w:cs="Times New Roman PS"/>
        </w:rPr>
        <w:fldChar w:fldCharType="separate"/>
      </w:r>
      <w:r w:rsidR="005C51FD">
        <w:rPr>
          <w:rFonts w:cs="Times New Roman PS"/>
        </w:rPr>
        <w:t>25</w:t>
      </w:r>
      <w:r>
        <w:rPr>
          <w:rFonts w:cs="Times New Roman PS"/>
        </w:rPr>
        <w:fldChar w:fldCharType="end"/>
      </w:r>
      <w:r>
        <w:rPr>
          <w:rFonts w:cs="Times New Roman PS"/>
        </w:rPr>
        <w:t xml:space="preserve">; </w:t>
      </w:r>
      <w:r>
        <w:rPr>
          <w:rFonts w:cs="Times New Roman PS"/>
          <w:i/>
        </w:rPr>
        <w:t>s</w:t>
      </w:r>
      <w:r w:rsidRPr="00E847CF">
        <w:rPr>
          <w:rFonts w:cs="Times New Roman PS"/>
          <w:i/>
        </w:rPr>
        <w:t>ee also</w:t>
      </w:r>
      <w:r w:rsidRPr="00E847CF">
        <w:rPr>
          <w:rFonts w:cs="Times New Roman PS"/>
        </w:rPr>
        <w:t xml:space="preserve"> O</w:t>
      </w:r>
      <w:r>
        <w:rPr>
          <w:rFonts w:cs="Times New Roman PS"/>
        </w:rPr>
        <w:t>’</w:t>
      </w:r>
      <w:r w:rsidRPr="00E847CF">
        <w:rPr>
          <w:rFonts w:cs="Times New Roman PS"/>
        </w:rPr>
        <w:t xml:space="preserve">Brien &amp; Waehrer,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_Ref19042259 \h </w:instrText>
      </w:r>
      <w:r>
        <w:rPr>
          <w:rFonts w:cs="Times New Roman PS"/>
        </w:rPr>
      </w:r>
      <w:r>
        <w:rPr>
          <w:rFonts w:cs="Times New Roman PS"/>
        </w:rPr>
        <w:fldChar w:fldCharType="separate"/>
      </w:r>
      <w:r w:rsidR="005C51FD">
        <w:rPr>
          <w:rFonts w:cs="Times New Roman PS"/>
        </w:rPr>
        <w:t>23</w:t>
      </w:r>
      <w:r>
        <w:rPr>
          <w:rFonts w:cs="Times New Roman PS"/>
        </w:rPr>
        <w:fldChar w:fldCharType="end"/>
      </w:r>
      <w:r w:rsidRPr="00E847CF">
        <w:rPr>
          <w:rFonts w:cs="Times New Roman PS"/>
        </w:rPr>
        <w:t xml:space="preserve">, at </w:t>
      </w:r>
      <w:r>
        <w:rPr>
          <w:rFonts w:cs="Times New Roman PS"/>
        </w:rPr>
        <w:t>596-97</w:t>
      </w:r>
      <w:r w:rsidRPr="00E847CF">
        <w:rPr>
          <w:rFonts w:cs="Times New Roman PS"/>
        </w:rPr>
        <w:t xml:space="preserve">; Patel,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_Ref19215500 \h </w:instrText>
      </w:r>
      <w:r>
        <w:rPr>
          <w:rFonts w:cs="Times New Roman PS"/>
        </w:rPr>
      </w:r>
      <w:r>
        <w:rPr>
          <w:rFonts w:cs="Times New Roman PS"/>
        </w:rPr>
        <w:fldChar w:fldCharType="separate"/>
      </w:r>
      <w:r w:rsidR="005C51FD">
        <w:rPr>
          <w:rFonts w:cs="Times New Roman PS"/>
        </w:rPr>
        <w:t>24</w:t>
      </w:r>
      <w:r>
        <w:rPr>
          <w:rFonts w:cs="Times New Roman PS"/>
        </w:rPr>
        <w:fldChar w:fldCharType="end"/>
      </w:r>
      <w:r w:rsidRPr="00E847CF">
        <w:rPr>
          <w:rFonts w:cs="Times New Roman PS"/>
        </w:rPr>
        <w:t>, at 300-18. From a theoretical point of view, Rock and Rubinfeld note that ISS makes no distinction between companies with high and low MHHI in its guidelines favoring RPE and argue that this makes it unlikely that there would be significant variation in the use of RPE based on</w:t>
      </w:r>
      <w:r>
        <w:rPr>
          <w:rFonts w:cs="Times New Roman PS"/>
        </w:rPr>
        <w:t xml:space="preserve"> the</w:t>
      </w:r>
      <w:r w:rsidRPr="00E847CF">
        <w:rPr>
          <w:rFonts w:cs="Times New Roman PS"/>
        </w:rPr>
        <w:t xml:space="preserve"> MHHI.</w:t>
      </w:r>
      <w:r>
        <w:rPr>
          <w:rFonts w:cs="Times New Roman PS"/>
        </w:rPr>
        <w:t xml:space="preserve"> </w:t>
      </w:r>
      <w:r>
        <w:rPr>
          <w:rFonts w:cs="Times New Roman PS"/>
          <w:i/>
        </w:rPr>
        <w:t xml:space="preserve">See </w:t>
      </w:r>
      <w:r w:rsidRPr="00E847CF">
        <w:rPr>
          <w:rFonts w:cs="Times New Roman PS"/>
        </w:rPr>
        <w:t xml:space="preserve">Rock </w:t>
      </w:r>
      <w:r>
        <w:rPr>
          <w:rFonts w:cs="Times New Roman PS"/>
        </w:rPr>
        <w:t>&amp;</w:t>
      </w:r>
      <w:r w:rsidRPr="00E847CF">
        <w:rPr>
          <w:rFonts w:cs="Times New Roman PS"/>
        </w:rPr>
        <w:t xml:space="preserve"> Rubinfeld,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_Ref19042270 \h </w:instrText>
      </w:r>
      <w:r>
        <w:rPr>
          <w:rFonts w:cs="Times New Roman PS"/>
        </w:rPr>
      </w:r>
      <w:r>
        <w:rPr>
          <w:rFonts w:cs="Times New Roman PS"/>
        </w:rPr>
        <w:fldChar w:fldCharType="separate"/>
      </w:r>
      <w:r w:rsidR="005C51FD">
        <w:rPr>
          <w:rFonts w:cs="Times New Roman PS"/>
        </w:rPr>
        <w:t>25</w:t>
      </w:r>
      <w:r>
        <w:rPr>
          <w:rFonts w:cs="Times New Roman PS"/>
        </w:rPr>
        <w:fldChar w:fldCharType="end"/>
      </w:r>
      <w:r w:rsidRPr="00E847CF">
        <w:rPr>
          <w:rFonts w:cs="Times New Roman PS"/>
        </w:rPr>
        <w:t>, at 249-50.</w:t>
      </w:r>
    </w:p>
  </w:footnote>
  <w:footnote w:id="107">
    <w:p w14:paraId="0A5BBFC1" w14:textId="301614A0" w:rsidR="00051004" w:rsidRPr="00B24BC3" w:rsidRDefault="00051004" w:rsidP="00B24BC3">
      <w:pPr>
        <w:pStyle w:val="FootNote"/>
      </w:pPr>
      <w:r>
        <w:rPr>
          <w:rFonts w:cs="Times New Roman PS"/>
          <w:szCs w:val="18"/>
        </w:rPr>
        <w:fldChar w:fldCharType="begin"/>
      </w:r>
      <w:r>
        <w:rPr>
          <w:rFonts w:cs="Times New Roman PS"/>
          <w:szCs w:val="18"/>
        </w:rPr>
        <w:instrText xml:space="preserve"> ADVANCE \r10 \* MERGEFORMAT </w:instrText>
      </w:r>
      <w:r>
        <w:rPr>
          <w:rFonts w:cs="Times New Roman PS"/>
          <w:szCs w:val="18"/>
        </w:rPr>
        <w:fldChar w:fldCharType="end"/>
      </w:r>
      <w:r w:rsidRPr="00F155BE">
        <w:rPr>
          <w:rStyle w:val="NoterefInNote"/>
        </w:rPr>
        <w:footnoteRef/>
      </w:r>
      <w:r>
        <w:rPr>
          <w:rFonts w:cs="Times New Roman PS"/>
          <w:szCs w:val="18"/>
        </w:rPr>
        <w:fldChar w:fldCharType="begin"/>
      </w:r>
      <w:r>
        <w:rPr>
          <w:rFonts w:cs="Times New Roman PS"/>
          <w:szCs w:val="18"/>
        </w:rPr>
        <w:instrText xml:space="preserve"> ADVANCE \r4 \* MERGEFORMAT </w:instrText>
      </w:r>
      <w:r>
        <w:rPr>
          <w:rFonts w:cs="Times New Roman PS"/>
          <w:szCs w:val="18"/>
        </w:rPr>
        <w:fldChar w:fldCharType="end"/>
      </w:r>
      <w:r>
        <w:rPr>
          <w:rFonts w:cs="Times New Roman PS"/>
          <w:i/>
          <w:szCs w:val="18"/>
        </w:rPr>
        <w:t xml:space="preserve">See </w:t>
      </w:r>
      <w:r w:rsidRPr="00B24BC3">
        <w:rPr>
          <w:rFonts w:cs="Times New Roman PS"/>
          <w:szCs w:val="18"/>
        </w:rPr>
        <w:t xml:space="preserve">AEGS (2016),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_Ref19210956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5</w:t>
      </w:r>
      <w:r w:rsidRPr="00B24BC3">
        <w:rPr>
          <w:rFonts w:cs="Times New Roman PS"/>
          <w:szCs w:val="18"/>
        </w:rPr>
        <w:fldChar w:fldCharType="end"/>
      </w:r>
      <w:r w:rsidRPr="00B24BC3">
        <w:rPr>
          <w:rFonts w:cs="Times New Roman PS"/>
          <w:szCs w:val="18"/>
        </w:rPr>
        <w:t xml:space="preserve">, at 15; DeSimone,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_Ref19108320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6</w:t>
      </w:r>
      <w:r w:rsidRPr="00B24BC3">
        <w:rPr>
          <w:rFonts w:cs="Times New Roman PS"/>
          <w:szCs w:val="18"/>
        </w:rPr>
        <w:fldChar w:fldCharType="end"/>
      </w:r>
      <w:r>
        <w:rPr>
          <w:rFonts w:cs="Times New Roman PS"/>
          <w:szCs w:val="18"/>
        </w:rPr>
        <w:t>, at 10</w:t>
      </w:r>
      <w:r w:rsidRPr="00B24BC3">
        <w:rPr>
          <w:rFonts w:cs="Times New Roman PS"/>
          <w:szCs w:val="18"/>
        </w:rPr>
        <w:t xml:space="preserve">; Kwon,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_Ref19108320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6</w:t>
      </w:r>
      <w:r w:rsidRPr="00B24BC3">
        <w:rPr>
          <w:rFonts w:cs="Times New Roman PS"/>
          <w:szCs w:val="18"/>
        </w:rPr>
        <w:fldChar w:fldCharType="end"/>
      </w:r>
      <w:r w:rsidRPr="00B24BC3">
        <w:rPr>
          <w:rFonts w:cs="Times New Roman PS"/>
          <w:szCs w:val="18"/>
        </w:rPr>
        <w:t xml:space="preserve">, at 8-9, 42; Liang, </w:t>
      </w:r>
      <w:r w:rsidRPr="00B24BC3">
        <w:rPr>
          <w:rFonts w:cs="Times New Roman PS"/>
          <w:i/>
          <w:szCs w:val="18"/>
        </w:rPr>
        <w:t>supra</w:t>
      </w:r>
      <w:r w:rsidRPr="00B24BC3">
        <w:rPr>
          <w:rFonts w:cs="Times New Roman PS"/>
          <w:szCs w:val="18"/>
        </w:rPr>
        <w:t xml:space="preserve"> note </w:t>
      </w:r>
      <w:r w:rsidRPr="00B24BC3">
        <w:rPr>
          <w:rFonts w:cs="Times New Roman PS"/>
          <w:szCs w:val="18"/>
        </w:rPr>
        <w:fldChar w:fldCharType="begin"/>
      </w:r>
      <w:r w:rsidRPr="00B24BC3">
        <w:rPr>
          <w:rFonts w:cs="Times New Roman PS"/>
          <w:szCs w:val="18"/>
        </w:rPr>
        <w:instrText xml:space="preserve"> NOTEREF _Ref19108320 \h  \* MERGEFORMAT </w:instrText>
      </w:r>
      <w:r w:rsidRPr="00B24BC3">
        <w:rPr>
          <w:rFonts w:cs="Times New Roman PS"/>
          <w:szCs w:val="18"/>
        </w:rPr>
      </w:r>
      <w:r w:rsidRPr="00B24BC3">
        <w:rPr>
          <w:rFonts w:cs="Times New Roman PS"/>
          <w:szCs w:val="18"/>
        </w:rPr>
        <w:fldChar w:fldCharType="separate"/>
      </w:r>
      <w:r w:rsidR="005C51FD">
        <w:rPr>
          <w:rFonts w:cs="Times New Roman PS"/>
          <w:szCs w:val="18"/>
        </w:rPr>
        <w:t>6</w:t>
      </w:r>
      <w:r w:rsidRPr="00B24BC3">
        <w:rPr>
          <w:rFonts w:cs="Times New Roman PS"/>
          <w:szCs w:val="18"/>
        </w:rPr>
        <w:fldChar w:fldCharType="end"/>
      </w:r>
      <w:r w:rsidRPr="00B24BC3">
        <w:rPr>
          <w:rFonts w:cs="Times New Roman PS"/>
          <w:szCs w:val="18"/>
        </w:rPr>
        <w:t>, at 9.</w:t>
      </w:r>
    </w:p>
  </w:footnote>
  <w:footnote w:id="108">
    <w:p w14:paraId="7CD814DE" w14:textId="6483440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AEGS (2016),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_Ref19210956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19</w:t>
      </w:r>
      <w:r>
        <w:rPr>
          <w:rFonts w:cs="Times New Roman PS"/>
        </w:rPr>
        <w:t>-22</w:t>
      </w:r>
      <w:r w:rsidRPr="00E847CF">
        <w:rPr>
          <w:rFonts w:cs="Times New Roman PS"/>
        </w:rPr>
        <w:t>, 57.</w:t>
      </w:r>
    </w:p>
  </w:footnote>
  <w:footnote w:id="109">
    <w:p w14:paraId="08A58CFA" w14:textId="0811E3C5"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sidRPr="00E847CF">
        <w:rPr>
          <w:rFonts w:cs="Times New Roman PS"/>
        </w:rPr>
        <w:t xml:space="preserve"> at </w:t>
      </w:r>
      <w:r>
        <w:rPr>
          <w:rFonts w:cs="Times New Roman PS"/>
        </w:rPr>
        <w:t>32</w:t>
      </w:r>
      <w:r w:rsidRPr="00E847CF">
        <w:rPr>
          <w:rFonts w:cs="Times New Roman PS"/>
        </w:rPr>
        <w:t>.</w:t>
      </w:r>
    </w:p>
  </w:footnote>
  <w:footnote w:id="110">
    <w:p w14:paraId="521DFDE7" w14:textId="6C34AA85"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Liang,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xml:space="preserve">, at 1 (finding that </w:t>
      </w:r>
      <w:r>
        <w:rPr>
          <w:rFonts w:cs="Times New Roman PS"/>
        </w:rPr>
        <w:t>CEO TDC1</w:t>
      </w:r>
      <w:r w:rsidRPr="00E847CF">
        <w:rPr>
          <w:rFonts w:cs="Times New Roman PS"/>
        </w:rPr>
        <w:t xml:space="preserve"> is positively related to stock price performance of industry peers with common blockholders).</w:t>
      </w:r>
    </w:p>
  </w:footnote>
  <w:footnote w:id="111">
    <w:p w14:paraId="63A271C4" w14:textId="5132D95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Pr>
          <w:rFonts w:cs="Times New Roman PS"/>
        </w:rPr>
        <w:t xml:space="preserve">Kwon, </w:t>
      </w:r>
      <w:r>
        <w:rPr>
          <w:rFonts w:cs="Times New Roman PS"/>
          <w:i/>
        </w:rPr>
        <w:t xml:space="preserve">supra </w:t>
      </w:r>
      <w:r>
        <w:rPr>
          <w:rFonts w:cs="Times New Roman PS"/>
        </w:rPr>
        <w:t xml:space="preserve">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xml:space="preserve">, at 8. </w:t>
      </w:r>
      <w:r w:rsidRPr="00E847CF">
        <w:rPr>
          <w:rFonts w:cs="Times New Roman PS"/>
        </w:rPr>
        <w:t>Pay-for-performance elasticity refers to the percentage change in compensation relative to a percentage change in firm value; sensitivity refers to the dollar change in compensation relative to a dollar change in firm value.</w:t>
      </w:r>
      <w:r>
        <w:rPr>
          <w:rFonts w:cs="Times New Roman PS"/>
        </w:rPr>
        <w:t xml:space="preserve"> </w:t>
      </w:r>
      <w:r>
        <w:rPr>
          <w:rFonts w:cs="Times New Roman PS"/>
          <w:i/>
        </w:rPr>
        <w:t xml:space="preserve">But see </w:t>
      </w:r>
      <w:r w:rsidRPr="00E847CF">
        <w:rPr>
          <w:rFonts w:cs="Times New Roman PS"/>
        </w:rPr>
        <w:t xml:space="preserve">DeSimone,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at 14 (criticizing Kwon</w:t>
      </w:r>
      <w:r>
        <w:rPr>
          <w:rFonts w:cs="Times New Roman PS"/>
        </w:rPr>
        <w:t>’</w:t>
      </w:r>
      <w:r w:rsidRPr="00E847CF">
        <w:rPr>
          <w:rFonts w:cs="Times New Roman PS"/>
        </w:rPr>
        <w:t>s use of elasticities from both theoretical and empirical perspectives).</w:t>
      </w:r>
    </w:p>
  </w:footnote>
  <w:footnote w:id="112">
    <w:p w14:paraId="69F346CA" w14:textId="0EBA76E5"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Kwon,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at 6.</w:t>
      </w:r>
    </w:p>
  </w:footnote>
  <w:footnote w:id="113">
    <w:p w14:paraId="34EFA460" w14:textId="379CDFB6"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DeSimone,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_Ref19108320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at 12-17.</w:t>
      </w:r>
    </w:p>
  </w:footnote>
  <w:footnote w:id="114">
    <w:p w14:paraId="6881CD6A" w14:textId="467B01B7"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Executive pay data collected in the ExecuComp database is based on proxy statement disclosures</w:t>
      </w:r>
      <w:r>
        <w:rPr>
          <w:rFonts w:cs="Times New Roman PS"/>
        </w:rPr>
        <w:t>,</w:t>
      </w:r>
      <w:r w:rsidRPr="00E847CF">
        <w:rPr>
          <w:rFonts w:cs="Times New Roman PS"/>
        </w:rPr>
        <w:t xml:space="preserve"> which generally include pay data for a public company</w:t>
      </w:r>
      <w:r>
        <w:rPr>
          <w:rFonts w:cs="Times New Roman PS"/>
        </w:rPr>
        <w:t>’</w:t>
      </w:r>
      <w:r w:rsidRPr="00E847CF">
        <w:rPr>
          <w:rFonts w:cs="Times New Roman PS"/>
        </w:rPr>
        <w:t>s CEO, CFO, and three most highly compensated executives other than the CEO and CFO.</w:t>
      </w:r>
      <w:r>
        <w:rPr>
          <w:rFonts w:cs="Times New Roman PS"/>
        </w:rPr>
        <w:t xml:space="preserve"> </w:t>
      </w:r>
      <w:r w:rsidRPr="00E847CF">
        <w:rPr>
          <w:rFonts w:cs="Times New Roman PS"/>
        </w:rPr>
        <w:t>The composition of this senior executive group has varied slightly over time.</w:t>
      </w:r>
      <w:r>
        <w:rPr>
          <w:rFonts w:cs="Times New Roman PS"/>
        </w:rPr>
        <w:t xml:space="preserve"> </w:t>
      </w:r>
      <w:r w:rsidRPr="00E847CF">
        <w:rPr>
          <w:rFonts w:cs="Times New Roman PS"/>
          <w:i/>
        </w:rPr>
        <w:t>See</w:t>
      </w:r>
      <w:r w:rsidRPr="00E847CF">
        <w:rPr>
          <w:rFonts w:cs="Times New Roman PS"/>
        </w:rPr>
        <w:t xml:space="preserve"> 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_Ref430105062 \h </w:instrText>
      </w:r>
      <w:r>
        <w:rPr>
          <w:rFonts w:cs="Times New Roman PS"/>
        </w:rPr>
      </w:r>
      <w:r>
        <w:rPr>
          <w:rFonts w:cs="Times New Roman PS"/>
        </w:rPr>
        <w:fldChar w:fldCharType="separate"/>
      </w:r>
      <w:r w:rsidR="005C51FD">
        <w:rPr>
          <w:rFonts w:cs="Times New Roman PS"/>
        </w:rPr>
        <w:t>48</w:t>
      </w:r>
      <w:r>
        <w:rPr>
          <w:rFonts w:cs="Times New Roman PS"/>
        </w:rPr>
        <w:fldChar w:fldCharType="end"/>
      </w:r>
      <w:r w:rsidRPr="00E847CF">
        <w:rPr>
          <w:rFonts w:cs="Times New Roman PS"/>
        </w:rPr>
        <w:t>, at 245-46</w:t>
      </w:r>
      <w:r>
        <w:rPr>
          <w:rFonts w:cs="Times New Roman PS"/>
        </w:rPr>
        <w:t>.</w:t>
      </w:r>
    </w:p>
  </w:footnote>
  <w:footnote w:id="115">
    <w:p w14:paraId="56B253D7" w14:textId="2AC7A0E6"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ExecuComp Data Definitions</w:t>
      </w:r>
      <w:r>
        <w:rPr>
          <w:rFonts w:cs="Times New Roman PS"/>
        </w:rPr>
        <w:t xml:space="preserve">, </w:t>
      </w:r>
      <w:r>
        <w:rPr>
          <w:rFonts w:cs="Times New Roman PS"/>
          <w:smallCaps/>
        </w:rPr>
        <w:t>Wharton Res. Data Servs.</w:t>
      </w:r>
      <w:r>
        <w:rPr>
          <w:rFonts w:cs="Times New Roman PS"/>
        </w:rPr>
        <w:t>,</w:t>
      </w:r>
      <w:r w:rsidRPr="00E847CF">
        <w:rPr>
          <w:rFonts w:cs="Times New Roman PS"/>
        </w:rPr>
        <w:t xml:space="preserve"> https://wrds-www.wharton.upenn.edu/documents/960/Execucomp_Data_Definitions.pdf </w:t>
      </w:r>
      <w:r>
        <w:rPr>
          <w:rFonts w:cs="Times New Roman PS"/>
        </w:rPr>
        <w:t xml:space="preserve">(last visited </w:t>
      </w:r>
      <w:r w:rsidRPr="003A5550">
        <w:rPr>
          <w:rFonts w:cs="Times New Roman PS"/>
        </w:rPr>
        <w:t>Nov. 14, 2019</w:t>
      </w:r>
      <w:r>
        <w:rPr>
          <w:rFonts w:cs="Times New Roman PS"/>
        </w:rPr>
        <w:t>)</w:t>
      </w:r>
      <w:r w:rsidRPr="00E847CF">
        <w:rPr>
          <w:rFonts w:cs="Times New Roman PS"/>
        </w:rPr>
        <w:t xml:space="preserve"> </w:t>
      </w:r>
      <w:r>
        <w:rPr>
          <w:rFonts w:cs="Times New Roman PS"/>
        </w:rPr>
        <w:t>(defining TDC1 as “[t]otal compensation comprised of the following: Salary, Bonus, Other Annual, Total Value of Restricted Stock Granted, Total Value of Stock Options Granted (using Black-Scholes), Long-Term Incentive Payouts, and All Other Total”).</w:t>
      </w:r>
    </w:p>
  </w:footnote>
  <w:footnote w:id="116">
    <w:p w14:paraId="1247545F" w14:textId="571C21B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Most significantly, an experience-based estimated holding period is used to value compensatory options rather than the expiration period used in valuing tradable options.</w:t>
      </w:r>
      <w:r>
        <w:rPr>
          <w:rFonts w:cs="Times New Roman PS"/>
        </w:rPr>
        <w:t xml:space="preserve"> </w:t>
      </w:r>
      <w:r w:rsidRPr="00E847CF">
        <w:rPr>
          <w:rFonts w:cs="Times New Roman PS"/>
          <w:i/>
        </w:rPr>
        <w:t>See</w:t>
      </w:r>
      <w:r w:rsidRPr="00E847CF">
        <w:rPr>
          <w:rFonts w:cs="Times New Roman PS"/>
        </w:rPr>
        <w:t xml:space="preserve"> 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_Ref21080132 \h </w:instrText>
      </w:r>
      <w:r>
        <w:rPr>
          <w:rFonts w:cs="Times New Roman PS"/>
        </w:rPr>
      </w:r>
      <w:r>
        <w:rPr>
          <w:rFonts w:cs="Times New Roman PS"/>
        </w:rPr>
        <w:fldChar w:fldCharType="separate"/>
      </w:r>
      <w:r w:rsidR="005C51FD">
        <w:rPr>
          <w:rFonts w:cs="Times New Roman PS"/>
        </w:rPr>
        <w:t>43</w:t>
      </w:r>
      <w:r>
        <w:rPr>
          <w:rFonts w:cs="Times New Roman PS"/>
        </w:rPr>
        <w:fldChar w:fldCharType="end"/>
      </w:r>
      <w:r w:rsidRPr="00E847CF">
        <w:rPr>
          <w:rFonts w:cs="Times New Roman PS"/>
        </w:rPr>
        <w:t>, at 423.</w:t>
      </w:r>
    </w:p>
  </w:footnote>
  <w:footnote w:id="117">
    <w:p w14:paraId="557C7E40" w14:textId="45228446"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Bizjak et al</w:t>
      </w:r>
      <w:r>
        <w:rPr>
          <w:rFonts w:cs="Times New Roman PS"/>
        </w:rPr>
        <w:t>.</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_Ref430105189 \h </w:instrText>
      </w:r>
      <w:r>
        <w:rPr>
          <w:rFonts w:cs="Times New Roman PS"/>
        </w:rPr>
      </w:r>
      <w:r>
        <w:rPr>
          <w:rFonts w:cs="Times New Roman PS"/>
        </w:rPr>
        <w:fldChar w:fldCharType="separate"/>
      </w:r>
      <w:r w:rsidR="005C51FD">
        <w:rPr>
          <w:rFonts w:cs="Times New Roman PS"/>
        </w:rPr>
        <w:t>65</w:t>
      </w:r>
      <w:r>
        <w:rPr>
          <w:rFonts w:cs="Times New Roman PS"/>
        </w:rPr>
        <w:fldChar w:fldCharType="end"/>
      </w:r>
      <w:r>
        <w:rPr>
          <w:rFonts w:cs="Times New Roman PS"/>
        </w:rPr>
        <w:t>, at 5 n.9</w:t>
      </w:r>
      <w:r w:rsidRPr="00E847CF">
        <w:rPr>
          <w:rFonts w:cs="Times New Roman PS"/>
        </w:rPr>
        <w:t>.</w:t>
      </w:r>
    </w:p>
  </w:footnote>
  <w:footnote w:id="118">
    <w:p w14:paraId="240450DE" w14:textId="2B72096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AEGS and Kwon both note that they run alternative regressions using ExecuComp variable TDC2 as the measure of compensation and that their results are unchanged.</w:t>
      </w:r>
      <w:r>
        <w:rPr>
          <w:rFonts w:cs="Times New Roman PS"/>
        </w:rPr>
        <w:t xml:space="preserve"> </w:t>
      </w:r>
      <w:r w:rsidRPr="00E847CF">
        <w:rPr>
          <w:rFonts w:cs="Times New Roman PS"/>
        </w:rPr>
        <w:t xml:space="preserve">AEGS (2016),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_Ref19898494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31 n.</w:t>
      </w:r>
      <w:r>
        <w:rPr>
          <w:rFonts w:cs="Times New Roman PS"/>
        </w:rPr>
        <w:t xml:space="preserve">5; </w:t>
      </w:r>
      <w:r w:rsidRPr="00E847CF">
        <w:rPr>
          <w:rFonts w:cs="Times New Roman PS"/>
        </w:rPr>
        <w:t xml:space="preserve">Kwon,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_Ref430105309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Pr>
          <w:rFonts w:cs="Times New Roman PS"/>
        </w:rPr>
        <w:t>, at 9 n.</w:t>
      </w:r>
      <w:r w:rsidRPr="00E847CF">
        <w:rPr>
          <w:rFonts w:cs="Times New Roman PS"/>
        </w:rPr>
        <w:t>4.</w:t>
      </w:r>
      <w:r>
        <w:rPr>
          <w:rFonts w:cs="Times New Roman PS"/>
        </w:rPr>
        <w:t xml:space="preserve"> </w:t>
      </w:r>
      <w:r w:rsidRPr="00E847CF">
        <w:rPr>
          <w:rFonts w:cs="Times New Roman PS"/>
        </w:rPr>
        <w:t>However, the only difference between TDC1 and TDC2 is that the latter replaces ex ante option values with realized values.</w:t>
      </w:r>
      <w:r>
        <w:rPr>
          <w:rFonts w:cs="Times New Roman PS"/>
        </w:rPr>
        <w:t xml:space="preserve"> </w:t>
      </w:r>
      <w:r w:rsidRPr="00E847CF">
        <w:rPr>
          <w:rFonts w:cs="Times New Roman PS"/>
        </w:rPr>
        <w:t>TDC2 does not include the ex post value of performance shares, and the large majority of explicit RPE awards are performance</w:t>
      </w:r>
      <w:r>
        <w:rPr>
          <w:rFonts w:cs="Times New Roman PS"/>
        </w:rPr>
        <w:t xml:space="preserve"> </w:t>
      </w:r>
      <w:r w:rsidRPr="00E847CF">
        <w:rPr>
          <w:rFonts w:cs="Times New Roman PS"/>
        </w:rPr>
        <w:t>share awards.</w:t>
      </w:r>
      <w:r>
        <w:rPr>
          <w:rFonts w:cs="Times New Roman PS"/>
        </w:rPr>
        <w:t xml:space="preserve"> </w:t>
      </w:r>
      <w:r w:rsidRPr="00E847CF">
        <w:rPr>
          <w:rFonts w:cs="Times New Roman PS"/>
          <w:i/>
        </w:rPr>
        <w:t>See</w:t>
      </w:r>
      <w:r>
        <w:rPr>
          <w:rFonts w:cs="Times New Roman PS"/>
        </w:rPr>
        <w:t xml:space="preserve"> </w:t>
      </w:r>
      <w:r>
        <w:rPr>
          <w:rFonts w:cs="Times New Roman PS"/>
          <w:i/>
        </w:rPr>
        <w:t>ExecuComp Data Definitions</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_Ref430105347 \h </w:instrText>
      </w:r>
      <w:r>
        <w:rPr>
          <w:rFonts w:cs="Times New Roman PS"/>
        </w:rPr>
      </w:r>
      <w:r>
        <w:rPr>
          <w:rFonts w:cs="Times New Roman PS"/>
        </w:rPr>
        <w:fldChar w:fldCharType="separate"/>
      </w:r>
      <w:r w:rsidR="005C51FD">
        <w:rPr>
          <w:rFonts w:cs="Times New Roman PS"/>
        </w:rPr>
        <w:t>113</w:t>
      </w:r>
      <w:r>
        <w:rPr>
          <w:rFonts w:cs="Times New Roman PS"/>
        </w:rPr>
        <w:fldChar w:fldCharType="end"/>
      </w:r>
      <w:r>
        <w:rPr>
          <w:rFonts w:cs="Times New Roman PS"/>
        </w:rPr>
        <w:t>, at 48 (defining TDC2 as “[t]otal compensation (Salary + Bonus + Other Annual + Restricted Stock Grants + LTIP Payouts + All Other + Value of Options Exercised”)</w:t>
      </w:r>
      <w:r w:rsidRPr="00E847CF">
        <w:rPr>
          <w:rFonts w:cs="Times New Roman PS"/>
        </w:rPr>
        <w:t>.</w:t>
      </w:r>
    </w:p>
  </w:footnote>
  <w:footnote w:id="119">
    <w:p w14:paraId="549F128A" w14:textId="5315825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DeSimone,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_Ref430105309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at 12, 17-18</w:t>
      </w:r>
      <w:r>
        <w:rPr>
          <w:rFonts w:cs="Times New Roman PS"/>
        </w:rPr>
        <w:t>.</w:t>
      </w:r>
    </w:p>
  </w:footnote>
  <w:footnote w:id="120">
    <w:p w14:paraId="75971351" w14:textId="6811A26B"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i/>
        </w:rPr>
        <w:t>See id.</w:t>
      </w:r>
      <w:r>
        <w:rPr>
          <w:rFonts w:cs="Times New Roman PS"/>
          <w:i/>
        </w:rPr>
        <w:t xml:space="preserve"> </w:t>
      </w:r>
      <w:r w:rsidRPr="006D20A9">
        <w:rPr>
          <w:rFonts w:cs="Times New Roman PS"/>
        </w:rPr>
        <w:t>at 12</w:t>
      </w:r>
      <w:r w:rsidRPr="00B81A13">
        <w:rPr>
          <w:rFonts w:cs="Times New Roman PS"/>
        </w:rPr>
        <w:t>.</w:t>
      </w:r>
    </w:p>
  </w:footnote>
  <w:footnote w:id="121">
    <w:p w14:paraId="3FCD0CCD" w14:textId="7CDABF1F"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Pr>
          <w:rFonts w:cs="Times New Roman PS"/>
          <w:i/>
          <w:szCs w:val="18"/>
        </w:rPr>
        <w:t>See id.</w:t>
      </w:r>
      <w:r w:rsidRPr="00B24BC3">
        <w:rPr>
          <w:rFonts w:cs="Times New Roman PS"/>
          <w:szCs w:val="18"/>
        </w:rPr>
        <w:t xml:space="preserve"> at 15.</w:t>
      </w:r>
    </w:p>
  </w:footnote>
  <w:footnote w:id="122">
    <w:p w14:paraId="3870F069" w14:textId="34421822"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sidRPr="00E847CF">
        <w:rPr>
          <w:rFonts w:cs="Times New Roman PS"/>
        </w:rPr>
        <w:t xml:space="preserve"> at 2, 21-23.</w:t>
      </w:r>
    </w:p>
  </w:footnote>
  <w:footnote w:id="123">
    <w:p w14:paraId="5FC3C11D" w14:textId="78285FD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AEGS (2016),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_Ref430105224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Pr>
          <w:rFonts w:cs="Times New Roman PS"/>
        </w:rPr>
        <w:t>, at 5</w:t>
      </w:r>
      <w:r w:rsidRPr="00E847CF">
        <w:rPr>
          <w:rFonts w:cs="Times New Roman PS"/>
        </w:rPr>
        <w:t>.</w:t>
      </w:r>
    </w:p>
  </w:footnote>
  <w:footnote w:id="124">
    <w:p w14:paraId="73D44E9F" w14:textId="6023455B"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_Ref430105224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Pr>
          <w:rFonts w:cs="Times New Roman PS"/>
        </w:rPr>
        <w:t>, at 3</w:t>
      </w:r>
      <w:r w:rsidRPr="00E847CF">
        <w:rPr>
          <w:rFonts w:cs="Times New Roman PS"/>
        </w:rPr>
        <w:t>.</w:t>
      </w:r>
    </w:p>
  </w:footnote>
  <w:footnote w:id="125">
    <w:p w14:paraId="32D928D7" w14:textId="291A846F"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sidRPr="00E847CF">
        <w:rPr>
          <w:rFonts w:cs="Times New Roman PS"/>
        </w:rPr>
        <w:t xml:space="preserve"> at 3</w:t>
      </w:r>
      <w:r>
        <w:rPr>
          <w:rFonts w:cs="Times New Roman PS"/>
        </w:rPr>
        <w:t>.</w:t>
      </w:r>
    </w:p>
  </w:footnote>
  <w:footnote w:id="126">
    <w:p w14:paraId="50009C57" w14:textId="7BD9DA4C"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B24BC3">
        <w:rPr>
          <w:rFonts w:cs="Times New Roman PS"/>
          <w:i/>
        </w:rPr>
        <w:t>.</w:t>
      </w:r>
    </w:p>
  </w:footnote>
  <w:footnote w:id="127">
    <w:p w14:paraId="427AA673" w14:textId="43D04FE5"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E847CF">
        <w:rPr>
          <w:rFonts w:cs="Times New Roman PS"/>
        </w:rPr>
        <w:t xml:space="preserve"> at 2-3.</w:t>
      </w:r>
    </w:p>
  </w:footnote>
  <w:footnote w:id="128">
    <w:p w14:paraId="76505261" w14:textId="6DD719D4"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sidRPr="00E847CF">
        <w:rPr>
          <w:rFonts w:cs="Times New Roman PS"/>
        </w:rPr>
        <w:t xml:space="preserve"> at 22-24.</w:t>
      </w:r>
    </w:p>
  </w:footnote>
  <w:footnote w:id="129">
    <w:p w14:paraId="027553D2" w14:textId="1F487F81"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sidRPr="00E847CF">
        <w:rPr>
          <w:rFonts w:cs="Times New Roman PS"/>
        </w:rPr>
        <w:t xml:space="preserve"> at 22.</w:t>
      </w:r>
    </w:p>
  </w:footnote>
  <w:footnote w:id="130">
    <w:p w14:paraId="6A1D4713" w14:textId="44288EB9"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Pr>
          <w:rFonts w:cs="Times New Roman PS"/>
          <w:i/>
          <w:szCs w:val="18"/>
        </w:rPr>
        <w:t>See id.</w:t>
      </w:r>
      <w:r w:rsidRPr="00B24BC3">
        <w:rPr>
          <w:rFonts w:cs="Times New Roman PS"/>
          <w:szCs w:val="18"/>
        </w:rPr>
        <w:t xml:space="preserve"> at 25. </w:t>
      </w:r>
      <w:r w:rsidRPr="00B24BC3">
        <w:t xml:space="preserve">In 2008, BlackRock was the sixth largest and BGI the largest global asset manager. </w:t>
      </w:r>
      <w:r w:rsidRPr="00B24BC3">
        <w:rPr>
          <w:rFonts w:cs="Times New Roman PS"/>
          <w:i/>
          <w:szCs w:val="18"/>
        </w:rPr>
        <w:t>Table: The P&amp;I/Watson Wyatt World 500</w:t>
      </w:r>
      <w:r w:rsidRPr="00B24BC3">
        <w:rPr>
          <w:rFonts w:cs="Times New Roman PS"/>
          <w:szCs w:val="18"/>
        </w:rPr>
        <w:t xml:space="preserve">, </w:t>
      </w:r>
      <w:r w:rsidRPr="00B24BC3">
        <w:rPr>
          <w:rFonts w:cs="Times New Roman PS"/>
          <w:smallCaps/>
          <w:szCs w:val="18"/>
        </w:rPr>
        <w:t>Pensions &amp; Inv</w:t>
      </w:r>
      <w:r>
        <w:rPr>
          <w:rFonts w:cs="Times New Roman PS"/>
          <w:szCs w:val="18"/>
        </w:rPr>
        <w:t>.</w:t>
      </w:r>
      <w:r w:rsidRPr="00B24BC3">
        <w:t xml:space="preserve"> (Oct. 5, 2009</w:t>
      </w:r>
      <w:r>
        <w:t>, 1:00 AM</w:t>
      </w:r>
      <w:r w:rsidRPr="00B24BC3">
        <w:rPr>
          <w:rFonts w:cs="Times New Roman PS"/>
          <w:szCs w:val="18"/>
        </w:rPr>
        <w:t xml:space="preserve">), </w:t>
      </w:r>
      <w:hyperlink r:id="rId1" w:history="1">
        <w:r w:rsidRPr="00B24BC3">
          <w:rPr>
            <w:rStyle w:val="Hyperlink"/>
            <w:color w:val="auto"/>
            <w:szCs w:val="18"/>
            <w:u w:val="none"/>
          </w:rPr>
          <w:t>https://www.pionline.com/article/20091005/INTERACTIVE/910019997/table-the-p-i-watson-wyatt-world-500</w:t>
        </w:r>
      </w:hyperlink>
      <w:r w:rsidRPr="00B24BC3">
        <w:rPr>
          <w:rFonts w:cs="Times New Roman PS"/>
          <w:szCs w:val="18"/>
        </w:rPr>
        <w:t xml:space="preserve"> [</w:t>
      </w:r>
      <w:r w:rsidRPr="00B24BC3">
        <w:rPr>
          <w:rFonts w:cs="Times New Roman PS"/>
          <w:bCs/>
          <w:szCs w:val="18"/>
        </w:rPr>
        <w:t>https://perma.cc/E9UQ-484G]</w:t>
      </w:r>
      <w:r w:rsidRPr="00B24BC3">
        <w:rPr>
          <w:rFonts w:cs="Times New Roman PS"/>
          <w:szCs w:val="18"/>
        </w:rPr>
        <w:t>.</w:t>
      </w:r>
    </w:p>
  </w:footnote>
  <w:footnote w:id="131">
    <w:p w14:paraId="003C8F0E" w14:textId="640F5141"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_Ref430105224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27.</w:t>
      </w:r>
    </w:p>
  </w:footnote>
  <w:footnote w:id="132">
    <w:p w14:paraId="2E48CCD3" w14:textId="6AFD1F4B"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E847CF">
        <w:rPr>
          <w:rFonts w:cs="Times New Roman PS"/>
        </w:rPr>
        <w:t xml:space="preserve"> at 4.</w:t>
      </w:r>
      <w:r>
        <w:rPr>
          <w:rFonts w:cs="Times New Roman PS"/>
        </w:rPr>
        <w:t xml:space="preserve"> </w:t>
      </w:r>
      <w:r w:rsidRPr="00E847CF">
        <w:rPr>
          <w:rFonts w:cs="Times New Roman PS"/>
        </w:rPr>
        <w:t>AEGS do not directly test for the absence or presence of large, unconflicted blockholders.</w:t>
      </w:r>
    </w:p>
  </w:footnote>
  <w:footnote w:id="133">
    <w:p w14:paraId="39E69219" w14:textId="11CB8790"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id.</w:t>
      </w:r>
      <w:r>
        <w:rPr>
          <w:rFonts w:cs="Times New Roman PS"/>
        </w:rPr>
        <w:t xml:space="preserve"> at 3, </w:t>
      </w:r>
      <w:r w:rsidRPr="00E847CF">
        <w:rPr>
          <w:rFonts w:cs="Times New Roman PS"/>
        </w:rPr>
        <w:t>7.</w:t>
      </w:r>
    </w:p>
  </w:footnote>
  <w:footnote w:id="134">
    <w:p w14:paraId="5D7F89F8" w14:textId="1F30F28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Hemphill and Kahan raise several methodological issues related to the revised AEGS paper.</w:t>
      </w:r>
      <w:r>
        <w:rPr>
          <w:rFonts w:cs="Times New Roman PS"/>
        </w:rPr>
        <w:t xml:space="preserve"> </w:t>
      </w:r>
      <w:r w:rsidRPr="00E847CF">
        <w:rPr>
          <w:rFonts w:cs="Times New Roman PS"/>
        </w:rPr>
        <w:t xml:space="preserve">They note, for example, that AEGS ignore noninstitutional blockholders, which may lead to errors in </w:t>
      </w:r>
      <w:r>
        <w:rPr>
          <w:rFonts w:cs="Times New Roman PS"/>
        </w:rPr>
        <w:t xml:space="preserve">the </w:t>
      </w:r>
      <w:r w:rsidRPr="00E847CF">
        <w:rPr>
          <w:rFonts w:cs="Times New Roman PS"/>
        </w:rPr>
        <w:t>MHHI calculation.</w:t>
      </w:r>
      <w:r>
        <w:rPr>
          <w:rFonts w:cs="Times New Roman PS"/>
        </w:rPr>
        <w:t xml:space="preserve"> </w:t>
      </w:r>
      <w:r w:rsidRPr="00E847CF">
        <w:rPr>
          <w:rFonts w:cs="Times New Roman PS"/>
        </w:rPr>
        <w:t xml:space="preserve">Hemphill &amp; Kahan,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_Ref430105649 \h </w:instrText>
      </w:r>
      <w:r>
        <w:rPr>
          <w:rFonts w:cs="Times New Roman PS"/>
        </w:rPr>
      </w:r>
      <w:r>
        <w:rPr>
          <w:rFonts w:cs="Times New Roman PS"/>
        </w:rPr>
        <w:fldChar w:fldCharType="separate"/>
      </w:r>
      <w:r w:rsidR="005C51FD">
        <w:rPr>
          <w:rFonts w:cs="Times New Roman PS"/>
        </w:rPr>
        <w:t>28</w:t>
      </w:r>
      <w:r>
        <w:rPr>
          <w:rFonts w:cs="Times New Roman PS"/>
        </w:rPr>
        <w:fldChar w:fldCharType="end"/>
      </w:r>
      <w:r w:rsidRPr="00E847CF">
        <w:rPr>
          <w:rFonts w:cs="Times New Roman PS"/>
        </w:rPr>
        <w:t xml:space="preserve"> </w:t>
      </w:r>
      <w:r>
        <w:rPr>
          <w:rFonts w:cs="Times New Roman PS"/>
        </w:rPr>
        <w:t xml:space="preserve">(manuscript </w:t>
      </w:r>
      <w:r w:rsidRPr="00E847CF">
        <w:rPr>
          <w:rFonts w:cs="Times New Roman PS"/>
        </w:rPr>
        <w:t>at 19</w:t>
      </w:r>
      <w:r>
        <w:rPr>
          <w:rFonts w:cs="Times New Roman PS"/>
        </w:rPr>
        <w:t>)</w:t>
      </w:r>
      <w:r w:rsidRPr="00E847CF">
        <w:rPr>
          <w:rFonts w:cs="Times New Roman PS"/>
        </w:rPr>
        <w:t>.</w:t>
      </w:r>
    </w:p>
  </w:footnote>
  <w:footnote w:id="135">
    <w:p w14:paraId="00DCD47A" w14:textId="18A5C1E3"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infra</w:t>
      </w:r>
      <w:r w:rsidRPr="00E847CF">
        <w:rPr>
          <w:rFonts w:cs="Times New Roman PS"/>
        </w:rPr>
        <w:t xml:space="preserve"> </w:t>
      </w:r>
      <w:r>
        <w:rPr>
          <w:rFonts w:cs="Times New Roman PS"/>
        </w:rPr>
        <w:t>Section</w:t>
      </w:r>
      <w:r w:rsidRPr="00E847CF">
        <w:rPr>
          <w:rFonts w:cs="Times New Roman PS"/>
        </w:rPr>
        <w:t xml:space="preserve"> III.B.1</w:t>
      </w:r>
      <w:r>
        <w:rPr>
          <w:rFonts w:cs="Times New Roman PS"/>
        </w:rPr>
        <w:t>.</w:t>
      </w:r>
    </w:p>
  </w:footnote>
  <w:footnote w:id="136">
    <w:p w14:paraId="32CFF695" w14:textId="296BD178"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sidRPr="00B24BC3">
        <w:rPr>
          <w:rFonts w:cs="Times New Roman PS"/>
          <w:i/>
          <w:szCs w:val="18"/>
        </w:rPr>
        <w:t>See infra</w:t>
      </w:r>
      <w:r w:rsidRPr="00B24BC3">
        <w:rPr>
          <w:rFonts w:cs="Times New Roman PS"/>
          <w:szCs w:val="18"/>
        </w:rPr>
        <w:t xml:space="preserve"> </w:t>
      </w:r>
      <w:r>
        <w:rPr>
          <w:rFonts w:cs="Times New Roman PS"/>
          <w:szCs w:val="18"/>
        </w:rPr>
        <w:t>Section</w:t>
      </w:r>
      <w:r w:rsidRPr="00B24BC3">
        <w:rPr>
          <w:rFonts w:cs="Times New Roman PS"/>
          <w:szCs w:val="18"/>
        </w:rPr>
        <w:t xml:space="preserve"> III.B.2.</w:t>
      </w:r>
    </w:p>
  </w:footnote>
  <w:footnote w:id="137">
    <w:p w14:paraId="6F3376B0" w14:textId="2B72390F"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infra</w:t>
      </w:r>
      <w:r w:rsidRPr="00E847CF">
        <w:rPr>
          <w:rFonts w:cs="Times New Roman PS"/>
        </w:rPr>
        <w:t xml:space="preserve"> </w:t>
      </w:r>
      <w:r>
        <w:rPr>
          <w:rFonts w:cs="Times New Roman PS"/>
        </w:rPr>
        <w:t>Section</w:t>
      </w:r>
      <w:r w:rsidRPr="00E847CF">
        <w:rPr>
          <w:rFonts w:cs="Times New Roman PS"/>
        </w:rPr>
        <w:t xml:space="preserve"> III.B.2.</w:t>
      </w:r>
    </w:p>
  </w:footnote>
  <w:footnote w:id="138">
    <w:p w14:paraId="245D2AFF" w14:textId="1A086648"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infra</w:t>
      </w:r>
      <w:r w:rsidRPr="00E847CF">
        <w:rPr>
          <w:rFonts w:cs="Times New Roman PS"/>
        </w:rPr>
        <w:t xml:space="preserve"> </w:t>
      </w:r>
      <w:r>
        <w:rPr>
          <w:rFonts w:cs="Times New Roman PS"/>
        </w:rPr>
        <w:t>Section</w:t>
      </w:r>
      <w:r w:rsidRPr="00E847CF">
        <w:rPr>
          <w:rFonts w:cs="Times New Roman PS"/>
        </w:rPr>
        <w:t xml:space="preserve"> III.B.3.</w:t>
      </w:r>
    </w:p>
  </w:footnote>
  <w:footnote w:id="139">
    <w:p w14:paraId="25474DD5" w14:textId="3E39F1D9"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6D20A9">
        <w:rPr>
          <w:rFonts w:cs="Times New Roman PS"/>
          <w:i/>
        </w:rPr>
        <w:t>See generally</w:t>
      </w:r>
      <w:r>
        <w:rPr>
          <w:rFonts w:cs="Times New Roman PS"/>
        </w:rPr>
        <w:t xml:space="preserve"> </w:t>
      </w:r>
      <w:r w:rsidRPr="00E847CF">
        <w:rPr>
          <w:rFonts w:cs="Times New Roman PS"/>
        </w:rPr>
        <w:t>Azar</w:t>
      </w:r>
      <w:r>
        <w:rPr>
          <w:rFonts w:cs="Times New Roman PS"/>
        </w:rPr>
        <w:t>, Schmalz &amp; Tecu</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_Ref430105793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Pr>
          <w:rFonts w:cs="Times New Roman PS"/>
        </w:rPr>
        <w:t>;</w:t>
      </w:r>
      <w:r w:rsidRPr="00E847CF">
        <w:rPr>
          <w:rFonts w:cs="Times New Roman PS"/>
        </w:rPr>
        <w:t xml:space="preserve"> Azar</w:t>
      </w:r>
      <w:r>
        <w:rPr>
          <w:rFonts w:cs="Times New Roman PS"/>
        </w:rPr>
        <w:t>, Raina &amp; Schmalz</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_Ref430105793 \h </w:instrText>
      </w:r>
      <w:r>
        <w:rPr>
          <w:rFonts w:cs="Times New Roman PS"/>
        </w:rPr>
      </w:r>
      <w:r>
        <w:rPr>
          <w:rFonts w:cs="Times New Roman PS"/>
        </w:rPr>
        <w:fldChar w:fldCharType="separate"/>
      </w:r>
      <w:r w:rsidR="005C51FD">
        <w:rPr>
          <w:rFonts w:cs="Times New Roman PS"/>
        </w:rPr>
        <w:t>3</w:t>
      </w:r>
      <w:r>
        <w:rPr>
          <w:rFonts w:cs="Times New Roman PS"/>
        </w:rPr>
        <w:fldChar w:fldCharType="end"/>
      </w:r>
      <w:r w:rsidRPr="00E847CF">
        <w:rPr>
          <w:rFonts w:cs="Times New Roman PS"/>
        </w:rPr>
        <w:t>.</w:t>
      </w:r>
    </w:p>
  </w:footnote>
  <w:footnote w:id="140">
    <w:p w14:paraId="3B81AC03" w14:textId="29C162FC"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_Ref430105224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1-4.</w:t>
      </w:r>
    </w:p>
  </w:footnote>
  <w:footnote w:id="141">
    <w:p w14:paraId="78B0BB70" w14:textId="2790159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Hemphill &amp; Kahan,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_Ref430105649 \h </w:instrText>
      </w:r>
      <w:r>
        <w:rPr>
          <w:rFonts w:cs="Times New Roman PS"/>
        </w:rPr>
      </w:r>
      <w:r>
        <w:rPr>
          <w:rFonts w:cs="Times New Roman PS"/>
        </w:rPr>
        <w:fldChar w:fldCharType="separate"/>
      </w:r>
      <w:r w:rsidR="005C51FD">
        <w:rPr>
          <w:rFonts w:cs="Times New Roman PS"/>
        </w:rPr>
        <w:t>28</w:t>
      </w:r>
      <w:r>
        <w:rPr>
          <w:rFonts w:cs="Times New Roman PS"/>
        </w:rPr>
        <w:fldChar w:fldCharType="end"/>
      </w:r>
      <w:r w:rsidRPr="00E847CF">
        <w:rPr>
          <w:rFonts w:cs="Times New Roman PS"/>
        </w:rPr>
        <w:t xml:space="preserve"> </w:t>
      </w:r>
      <w:r>
        <w:rPr>
          <w:rFonts w:cs="Times New Roman PS"/>
        </w:rPr>
        <w:t xml:space="preserve">(manuscript </w:t>
      </w:r>
      <w:r w:rsidRPr="00E847CF">
        <w:rPr>
          <w:rFonts w:cs="Times New Roman PS"/>
        </w:rPr>
        <w:t>at 21</w:t>
      </w:r>
      <w:r>
        <w:rPr>
          <w:rFonts w:cs="Times New Roman PS"/>
        </w:rPr>
        <w:t>)</w:t>
      </w:r>
      <w:r w:rsidRPr="00E847CF">
        <w:rPr>
          <w:rFonts w:cs="Times New Roman PS"/>
        </w:rPr>
        <w:t>.</w:t>
      </w:r>
    </w:p>
  </w:footnote>
  <w:footnote w:id="142">
    <w:p w14:paraId="2F13BB6A" w14:textId="0335F686"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This statement is true assuming that a competition-inducing RPE metric, such as total shareholder return, is utilized.</w:t>
      </w:r>
      <w:r>
        <w:rPr>
          <w:rFonts w:cs="Times New Roman PS"/>
        </w:rPr>
        <w:t xml:space="preserve"> </w:t>
      </w:r>
      <w:r w:rsidRPr="00E847CF">
        <w:rPr>
          <w:rFonts w:cs="Times New Roman PS"/>
          <w:i/>
        </w:rPr>
        <w:t>See</w:t>
      </w:r>
      <w:r w:rsidRPr="00E847CF">
        <w:rPr>
          <w:rFonts w:cs="Times New Roman PS"/>
        </w:rPr>
        <w:t xml:space="preserve"> </w:t>
      </w:r>
      <w:r w:rsidRPr="00E847CF">
        <w:rPr>
          <w:rFonts w:cs="Times New Roman PS"/>
          <w:i/>
        </w:rPr>
        <w:t>supra</w:t>
      </w:r>
      <w:r w:rsidRPr="00E847CF">
        <w:rPr>
          <w:rFonts w:cs="Times New Roman PS"/>
        </w:rPr>
        <w:t xml:space="preserve"> text</w:t>
      </w:r>
      <w:r>
        <w:rPr>
          <w:rFonts w:cs="Times New Roman PS"/>
        </w:rPr>
        <w:t xml:space="preserve"> accompanying </w:t>
      </w:r>
      <w:r w:rsidRPr="00E847CF">
        <w:rPr>
          <w:rFonts w:cs="Times New Roman PS"/>
        </w:rPr>
        <w:t xml:space="preserve">notes </w:t>
      </w:r>
      <w:r>
        <w:rPr>
          <w:rFonts w:cs="Times New Roman PS"/>
        </w:rPr>
        <w:fldChar w:fldCharType="begin"/>
      </w:r>
      <w:r>
        <w:rPr>
          <w:rFonts w:cs="Times New Roman PS"/>
        </w:rPr>
        <w:instrText xml:space="preserve"> NOTEREF _Ref18937561 \h </w:instrText>
      </w:r>
      <w:r>
        <w:rPr>
          <w:rFonts w:cs="Times New Roman PS"/>
        </w:rPr>
      </w:r>
      <w:r>
        <w:rPr>
          <w:rFonts w:cs="Times New Roman PS"/>
        </w:rPr>
        <w:fldChar w:fldCharType="separate"/>
      </w:r>
      <w:r w:rsidR="005C51FD">
        <w:rPr>
          <w:rFonts w:cs="Times New Roman PS"/>
        </w:rPr>
        <w:t>98</w:t>
      </w:r>
      <w:r>
        <w:rPr>
          <w:rFonts w:cs="Times New Roman PS"/>
        </w:rPr>
        <w:fldChar w:fldCharType="end"/>
      </w:r>
      <w:r w:rsidRPr="00E847CF">
        <w:rPr>
          <w:rFonts w:cs="Times New Roman PS"/>
        </w:rPr>
        <w:t>-</w:t>
      </w:r>
      <w:r>
        <w:rPr>
          <w:rFonts w:cs="Times New Roman PS"/>
        </w:rPr>
        <w:fldChar w:fldCharType="begin"/>
      </w:r>
      <w:r>
        <w:rPr>
          <w:rFonts w:cs="Times New Roman PS"/>
        </w:rPr>
        <w:instrText xml:space="preserve"> NOTEREF _Ref18937577 \h </w:instrText>
      </w:r>
      <w:r>
        <w:rPr>
          <w:rFonts w:cs="Times New Roman PS"/>
        </w:rPr>
      </w:r>
      <w:r>
        <w:rPr>
          <w:rFonts w:cs="Times New Roman PS"/>
        </w:rPr>
        <w:fldChar w:fldCharType="separate"/>
      </w:r>
      <w:r w:rsidR="005C51FD">
        <w:rPr>
          <w:rFonts w:cs="Times New Roman PS"/>
        </w:rPr>
        <w:t>99</w:t>
      </w:r>
      <w:r>
        <w:rPr>
          <w:rFonts w:cs="Times New Roman PS"/>
        </w:rPr>
        <w:fldChar w:fldCharType="end"/>
      </w:r>
      <w:r w:rsidRPr="00E847CF">
        <w:rPr>
          <w:rFonts w:cs="Times New Roman PS"/>
        </w:rPr>
        <w:t>.</w:t>
      </w:r>
      <w:r>
        <w:rPr>
          <w:rFonts w:cs="Times New Roman PS"/>
        </w:rPr>
        <w:t xml:space="preserve"> </w:t>
      </w:r>
      <w:r w:rsidRPr="00E847CF">
        <w:rPr>
          <w:rFonts w:cs="Times New Roman PS"/>
        </w:rPr>
        <w:t>Of course, WPS and RPE are likely to be correlated to some extent, and WPS might be viewed as a proxy for RPE, but the point remains that RPE should be a more promising place to look for incentive management than WPS.</w:t>
      </w:r>
    </w:p>
  </w:footnote>
  <w:footnote w:id="143">
    <w:p w14:paraId="4122737E" w14:textId="405C84E8" w:rsidR="00051004" w:rsidRPr="00E847CF" w:rsidRDefault="00051004" w:rsidP="00E847CF">
      <w:pPr>
        <w:pStyle w:val="FootNote"/>
        <w:rPr>
          <w:rFonts w:cs="Times New Roman PS"/>
        </w:rPr>
      </w:pPr>
      <w:r>
        <w:rPr>
          <w:i/>
        </w:rPr>
        <w:fldChar w:fldCharType="begin"/>
      </w:r>
      <w:r>
        <w:rPr>
          <w:i/>
        </w:rPr>
        <w:instrText xml:space="preserve"> ADVANCE \r10 \* MERGEFORMAT </w:instrText>
      </w:r>
      <w:r>
        <w:rPr>
          <w:i/>
        </w:rPr>
        <w:fldChar w:fldCharType="end"/>
      </w:r>
      <w:r w:rsidRPr="00F155BE">
        <w:rPr>
          <w:rStyle w:val="NoterefInNote"/>
        </w:rPr>
        <w:footnoteRef/>
      </w:r>
      <w:r>
        <w:rPr>
          <w:i/>
        </w:rPr>
        <w:fldChar w:fldCharType="begin"/>
      </w:r>
      <w:r>
        <w:rPr>
          <w:i/>
        </w:rPr>
        <w:instrText xml:space="preserve"> ADVANCE \r4 \* MERGEFORMAT </w:instrText>
      </w:r>
      <w:r>
        <w:rPr>
          <w:i/>
        </w:rPr>
        <w:fldChar w:fldCharType="end"/>
      </w:r>
      <w:r w:rsidRPr="003662E9">
        <w:rPr>
          <w:i/>
        </w:rPr>
        <w:t>See</w:t>
      </w:r>
      <w:r>
        <w:rPr>
          <w:i/>
          <w:smallCaps/>
        </w:rPr>
        <w:t xml:space="preserve"> </w:t>
      </w:r>
      <w:r w:rsidRPr="002672CC">
        <w:rPr>
          <w:rFonts w:cs="Times New Roman PS"/>
          <w:smallCaps/>
        </w:rPr>
        <w:t>BlackRock</w:t>
      </w:r>
      <w:r w:rsidRPr="00E847CF">
        <w:rPr>
          <w:rFonts w:cs="Times New Roman PS"/>
        </w:rPr>
        <w:t xml:space="preserve">, </w:t>
      </w:r>
      <w:r w:rsidRPr="006D20A9">
        <w:rPr>
          <w:rFonts w:cs="Times New Roman PS"/>
          <w:i/>
          <w:iCs/>
        </w:rPr>
        <w:t>supra</w:t>
      </w:r>
      <w:r>
        <w:rPr>
          <w:rFonts w:cs="Times New Roman PS"/>
          <w:i/>
          <w:iCs/>
        </w:rPr>
        <w:t xml:space="preserve"> </w:t>
      </w:r>
      <w:r>
        <w:rPr>
          <w:rFonts w:cs="Times New Roman PS"/>
        </w:rPr>
        <w:t xml:space="preserve">note </w:t>
      </w:r>
      <w:r>
        <w:rPr>
          <w:rFonts w:cs="Times New Roman PS"/>
        </w:rPr>
        <w:fldChar w:fldCharType="begin"/>
      </w:r>
      <w:r>
        <w:rPr>
          <w:rFonts w:cs="Times New Roman PS"/>
        </w:rPr>
        <w:instrText xml:space="preserve"> NOTEREF _Ref18938927 \h </w:instrText>
      </w:r>
      <w:r>
        <w:rPr>
          <w:rFonts w:cs="Times New Roman PS"/>
        </w:rPr>
      </w:r>
      <w:r>
        <w:rPr>
          <w:rFonts w:cs="Times New Roman PS"/>
        </w:rPr>
        <w:fldChar w:fldCharType="separate"/>
      </w:r>
      <w:r w:rsidR="005C51FD">
        <w:rPr>
          <w:rFonts w:cs="Times New Roman PS"/>
        </w:rPr>
        <w:t>76</w:t>
      </w:r>
      <w:r>
        <w:rPr>
          <w:rFonts w:cs="Times New Roman PS"/>
        </w:rPr>
        <w:fldChar w:fldCharType="end"/>
      </w:r>
      <w:r>
        <w:rPr>
          <w:rFonts w:cs="Times New Roman PS"/>
        </w:rPr>
        <w:t>, at 11 (“BlackRock supports equity plans that align the economic interests of directors, managers, and other employees with those of shareholders.”)</w:t>
      </w:r>
      <w:r w:rsidRPr="00E847CF">
        <w:rPr>
          <w:rFonts w:cs="Times New Roman PS"/>
        </w:rPr>
        <w:t>;</w:t>
      </w:r>
      <w:r>
        <w:rPr>
          <w:rFonts w:cs="Times New Roman PS"/>
        </w:rPr>
        <w:t xml:space="preserve"> </w:t>
      </w:r>
      <w:r w:rsidRPr="002672CC">
        <w:rPr>
          <w:rFonts w:cs="Times New Roman PS"/>
          <w:smallCaps/>
        </w:rPr>
        <w:t>Capital Group</w:t>
      </w:r>
      <w:r w:rsidRPr="00E847CF">
        <w:rPr>
          <w:rFonts w:cs="Times New Roman PS"/>
        </w:rPr>
        <w:t xml:space="preserve">, </w:t>
      </w:r>
      <w:r w:rsidRPr="00735974">
        <w:rPr>
          <w:rFonts w:cs="Times New Roman PS"/>
          <w:i/>
          <w:iCs/>
        </w:rPr>
        <w:t>supra</w:t>
      </w:r>
      <w:r>
        <w:rPr>
          <w:rFonts w:cs="Times New Roman PS"/>
        </w:rPr>
        <w:t xml:space="preserve"> note </w:t>
      </w:r>
      <w:r>
        <w:rPr>
          <w:rFonts w:cs="Times New Roman PS"/>
        </w:rPr>
        <w:fldChar w:fldCharType="begin"/>
      </w:r>
      <w:r>
        <w:rPr>
          <w:rFonts w:cs="Times New Roman PS"/>
        </w:rPr>
        <w:instrText xml:space="preserve"> NOTEREF _Ref18938927 \h </w:instrText>
      </w:r>
      <w:r>
        <w:rPr>
          <w:rFonts w:cs="Times New Roman PS"/>
        </w:rPr>
      </w:r>
      <w:r>
        <w:rPr>
          <w:rFonts w:cs="Times New Roman PS"/>
        </w:rPr>
        <w:fldChar w:fldCharType="separate"/>
      </w:r>
      <w:r w:rsidR="005C51FD">
        <w:rPr>
          <w:rFonts w:cs="Times New Roman PS"/>
        </w:rPr>
        <w:t>76</w:t>
      </w:r>
      <w:r>
        <w:rPr>
          <w:rFonts w:cs="Times New Roman PS"/>
        </w:rPr>
        <w:fldChar w:fldCharType="end"/>
      </w:r>
      <w:r>
        <w:rPr>
          <w:rFonts w:cs="Times New Roman PS"/>
        </w:rPr>
        <w:t xml:space="preserve"> (“Compensation should create incentives for superior investment returns and align management’s long-term interests with those of the shareholders.”);</w:t>
      </w:r>
      <w:r w:rsidRPr="00E847CF">
        <w:rPr>
          <w:rFonts w:cs="Times New Roman PS"/>
        </w:rPr>
        <w:t xml:space="preserve"> </w:t>
      </w:r>
      <w:r w:rsidRPr="002672CC">
        <w:rPr>
          <w:rFonts w:cs="Times New Roman PS"/>
          <w:smallCaps/>
        </w:rPr>
        <w:t>Fidelity</w:t>
      </w:r>
      <w:r w:rsidRPr="00E847CF">
        <w:rPr>
          <w:rFonts w:cs="Times New Roman PS"/>
        </w:rPr>
        <w:t xml:space="preserve">, </w:t>
      </w:r>
      <w:r w:rsidRPr="006D20A9">
        <w:rPr>
          <w:rFonts w:cs="Times New Roman PS"/>
          <w:i/>
          <w:iCs/>
        </w:rPr>
        <w:t>supra</w:t>
      </w:r>
      <w:r>
        <w:rPr>
          <w:rFonts w:cs="Times New Roman PS"/>
        </w:rPr>
        <w:t xml:space="preserve"> note </w:t>
      </w:r>
      <w:r>
        <w:rPr>
          <w:rFonts w:cs="Times New Roman PS"/>
        </w:rPr>
        <w:fldChar w:fldCharType="begin"/>
      </w:r>
      <w:r>
        <w:rPr>
          <w:rFonts w:cs="Times New Roman PS"/>
        </w:rPr>
        <w:instrText xml:space="preserve"> NOTEREF _Ref18938927 \h </w:instrText>
      </w:r>
      <w:r>
        <w:rPr>
          <w:rFonts w:cs="Times New Roman PS"/>
        </w:rPr>
      </w:r>
      <w:r>
        <w:rPr>
          <w:rFonts w:cs="Times New Roman PS"/>
        </w:rPr>
        <w:fldChar w:fldCharType="separate"/>
      </w:r>
      <w:r w:rsidR="005C51FD">
        <w:rPr>
          <w:rFonts w:cs="Times New Roman PS"/>
        </w:rPr>
        <w:t>76</w:t>
      </w:r>
      <w:r>
        <w:rPr>
          <w:rFonts w:cs="Times New Roman PS"/>
        </w:rPr>
        <w:fldChar w:fldCharType="end"/>
      </w:r>
      <w:r>
        <w:rPr>
          <w:rFonts w:cs="Times New Roman PS"/>
        </w:rPr>
        <w:t xml:space="preserve">, at 6 (“Fidelity generally will support proposals to ratify executive compensation unless the compensation appears misaligned with shareholder interests . . . .”); </w:t>
      </w:r>
      <w:r>
        <w:rPr>
          <w:rFonts w:cs="Times New Roman PS"/>
          <w:smallCaps/>
        </w:rPr>
        <w:t>Vanguard</w:t>
      </w:r>
      <w:r>
        <w:rPr>
          <w:rFonts w:cs="Times New Roman PS"/>
        </w:rPr>
        <w:t xml:space="preserve">, </w:t>
      </w:r>
      <w:r w:rsidRPr="00B10F3E">
        <w:rPr>
          <w:rFonts w:cs="Times New Roman PS"/>
          <w:smallCaps/>
        </w:rPr>
        <w:t>Proxy Voting Guidelines for U.S. Portfolio Companies</w:t>
      </w:r>
      <w:r>
        <w:rPr>
          <w:rFonts w:cs="Times New Roman PS"/>
          <w:smallCaps/>
        </w:rPr>
        <w:t xml:space="preserve"> 12 (2019) (</w:t>
      </w:r>
      <w:r>
        <w:rPr>
          <w:rFonts w:cs="Times New Roman PS"/>
        </w:rPr>
        <w:t>noting that “[a]lignment of pay and performance” is one category of considerations in executive compensation decisions and that “[i]</w:t>
      </w:r>
      <w:r w:rsidRPr="00B10F3E">
        <w:rPr>
          <w:rFonts w:cs="Times New Roman PS"/>
        </w:rPr>
        <w:t>n general, a fund</w:t>
      </w:r>
      <w:r>
        <w:rPr>
          <w:rFonts w:cs="Times New Roman PS"/>
        </w:rPr>
        <w:t> . . . </w:t>
      </w:r>
      <w:r w:rsidRPr="00B10F3E">
        <w:rPr>
          <w:rFonts w:cs="Times New Roman PS"/>
        </w:rPr>
        <w:t xml:space="preserve">will support </w:t>
      </w:r>
      <w:r>
        <w:rPr>
          <w:rFonts w:cs="Times New Roman PS"/>
        </w:rPr>
        <w:t xml:space="preserve">[executive compensation proposals] </w:t>
      </w:r>
      <w:r w:rsidRPr="00B10F3E">
        <w:rPr>
          <w:rFonts w:cs="Times New Roman PS"/>
        </w:rPr>
        <w:t>that enhance long-term shareholder value</w:t>
      </w:r>
      <w:r>
        <w:rPr>
          <w:rFonts w:cs="Times New Roman PS"/>
        </w:rPr>
        <w:t xml:space="preserve">”); </w:t>
      </w:r>
      <w:r w:rsidRPr="00C179C3">
        <w:rPr>
          <w:i/>
        </w:rPr>
        <w:t>2019 Proxy Voting and Engagement Guidelines: North America (United States &amp; Canada)</w:t>
      </w:r>
      <w:r>
        <w:t>,</w:t>
      </w:r>
      <w:r w:rsidRPr="00C179C3">
        <w:rPr>
          <w:smallCaps/>
        </w:rPr>
        <w:t xml:space="preserve"> </w:t>
      </w:r>
      <w:r>
        <w:rPr>
          <w:smallCaps/>
        </w:rPr>
        <w:t>St.</w:t>
      </w:r>
      <w:r w:rsidRPr="006D20A9">
        <w:rPr>
          <w:smallCaps/>
        </w:rPr>
        <w:t xml:space="preserve"> Street Global Advisors</w:t>
      </w:r>
      <w:r>
        <w:rPr>
          <w:smallCaps/>
        </w:rPr>
        <w:t xml:space="preserve"> </w:t>
      </w:r>
      <w:r>
        <w:t>(Mar. 18, 2019)</w:t>
      </w:r>
      <w:r w:rsidRPr="00E847CF">
        <w:rPr>
          <w:rFonts w:cs="Times New Roman PS"/>
        </w:rPr>
        <w:t>,</w:t>
      </w:r>
      <w:r>
        <w:rPr>
          <w:rFonts w:cs="Times New Roman PS"/>
        </w:rPr>
        <w:t xml:space="preserve"> </w:t>
      </w:r>
      <w:r w:rsidRPr="00C179C3">
        <w:rPr>
          <w:rFonts w:cs="Times New Roman PS"/>
        </w:rPr>
        <w:t>https://www.ssga.com/our-insights/viewpoints/2019-proxy-voting-and-engagement-guidelines-north-america.html</w:t>
      </w:r>
      <w:r w:rsidRPr="008B01E8">
        <w:rPr>
          <w:rFonts w:cs="Times New Roman PS"/>
        </w:rPr>
        <w:t xml:space="preserve"> </w:t>
      </w:r>
      <w:r>
        <w:rPr>
          <w:rFonts w:cs="Times New Roman PS"/>
        </w:rPr>
        <w:t>(“[SSGA] believes executive compensation plays a critical role in aligning executives interest with shareholder’s . . . [and] support[s] management proposals on executive compensation where there is a strong relationship between executive pay and performance over a five-year period.”)</w:t>
      </w:r>
      <w:r w:rsidRPr="00B10F3E">
        <w:rPr>
          <w:rFonts w:cs="Times New Roman PS"/>
        </w:rPr>
        <w:t>.</w:t>
      </w:r>
    </w:p>
  </w:footnote>
  <w:footnote w:id="144">
    <w:p w14:paraId="61B5805D" w14:textId="3515B84A" w:rsidR="00051004" w:rsidRPr="00E847CF" w:rsidRDefault="00051004" w:rsidP="00E847CF">
      <w:pPr>
        <w:pStyle w:val="FootNote"/>
        <w:rPr>
          <w:rFonts w:cs="Times New Roman PS"/>
        </w:rPr>
      </w:pPr>
      <w:r>
        <w:rPr>
          <w:rFonts w:cs="Times New Roman PS"/>
          <w:smallCaps/>
        </w:rPr>
        <w:fldChar w:fldCharType="begin"/>
      </w:r>
      <w:r>
        <w:rPr>
          <w:rFonts w:cs="Times New Roman PS"/>
          <w:smallCaps/>
        </w:rPr>
        <w:instrText xml:space="preserve"> ADVANCE \r10 \* MERGEFORMAT </w:instrText>
      </w:r>
      <w:r>
        <w:rPr>
          <w:rFonts w:cs="Times New Roman PS"/>
          <w:smallCaps/>
        </w:rPr>
        <w:fldChar w:fldCharType="end"/>
      </w:r>
      <w:r w:rsidRPr="00F155BE">
        <w:rPr>
          <w:rStyle w:val="NoterefInNote"/>
        </w:rPr>
        <w:footnoteRef/>
      </w:r>
      <w:r>
        <w:rPr>
          <w:rFonts w:cs="Times New Roman PS"/>
          <w:smallCaps/>
        </w:rPr>
        <w:fldChar w:fldCharType="begin"/>
      </w:r>
      <w:r>
        <w:rPr>
          <w:rFonts w:cs="Times New Roman PS"/>
          <w:smallCaps/>
        </w:rPr>
        <w:instrText xml:space="preserve"> ADVANCE \r4 \* MERGEFORMAT </w:instrText>
      </w:r>
      <w:r>
        <w:rPr>
          <w:rFonts w:cs="Times New Roman PS"/>
          <w:smallCaps/>
        </w:rPr>
        <w:fldChar w:fldCharType="end"/>
      </w:r>
      <w:r>
        <w:rPr>
          <w:rFonts w:cs="Times New Roman PS"/>
          <w:i/>
        </w:rPr>
        <w:t>See, e.g.</w:t>
      </w:r>
      <w:r>
        <w:rPr>
          <w:rFonts w:cs="Times New Roman PS"/>
        </w:rPr>
        <w:t>,</w:t>
      </w:r>
      <w:r>
        <w:rPr>
          <w:rFonts w:cs="Times New Roman PS"/>
          <w:i/>
        </w:rPr>
        <w:t xml:space="preserve"> </w:t>
      </w:r>
      <w:r w:rsidRPr="002672CC">
        <w:rPr>
          <w:rFonts w:cs="Times New Roman PS"/>
          <w:smallCaps/>
        </w:rPr>
        <w:t>BlackRock</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_Ref18938927 \h </w:instrText>
      </w:r>
      <w:r>
        <w:rPr>
          <w:rFonts w:cs="Times New Roman PS"/>
        </w:rPr>
      </w:r>
      <w:r>
        <w:rPr>
          <w:rFonts w:cs="Times New Roman PS"/>
        </w:rPr>
        <w:fldChar w:fldCharType="separate"/>
      </w:r>
      <w:r w:rsidR="005C51FD">
        <w:rPr>
          <w:rFonts w:cs="Times New Roman PS"/>
        </w:rPr>
        <w:t>76</w:t>
      </w:r>
      <w:r>
        <w:rPr>
          <w:rFonts w:cs="Times New Roman PS"/>
        </w:rPr>
        <w:fldChar w:fldCharType="end"/>
      </w:r>
      <w:r>
        <w:rPr>
          <w:rFonts w:cs="Times New Roman PS"/>
        </w:rPr>
        <w:t xml:space="preserve">, at 11 (stating intention to oppose executive pay plans that exhibit a “pay-for performance disconnect”); </w:t>
      </w:r>
      <w:r w:rsidRPr="006D20A9">
        <w:rPr>
          <w:smallCaps/>
        </w:rPr>
        <w:t>Vanguard</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_Ref18937508 \h </w:instrText>
      </w:r>
      <w:r>
        <w:rPr>
          <w:rFonts w:cs="Times New Roman PS"/>
        </w:rPr>
      </w:r>
      <w:r>
        <w:rPr>
          <w:rFonts w:cs="Times New Roman PS"/>
        </w:rPr>
        <w:fldChar w:fldCharType="separate"/>
      </w:r>
      <w:r w:rsidR="005C51FD">
        <w:rPr>
          <w:rFonts w:cs="Times New Roman PS"/>
        </w:rPr>
        <w:t>141</w:t>
      </w:r>
      <w:r>
        <w:rPr>
          <w:rFonts w:cs="Times New Roman PS"/>
        </w:rPr>
        <w:fldChar w:fldCharType="end"/>
      </w:r>
      <w:r>
        <w:rPr>
          <w:rFonts w:cs="Times New Roman PS"/>
        </w:rPr>
        <w:t>, at 12-13 (noting objectionable features of executive pay plans).</w:t>
      </w:r>
    </w:p>
  </w:footnote>
  <w:footnote w:id="145">
    <w:p w14:paraId="0B0A5697" w14:textId="0C3F478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Dodd-Frank Wall Street Reform and Consumer Protection Act, Pub. L. No. 111-203, §</w:t>
      </w:r>
      <w:r>
        <w:rPr>
          <w:rFonts w:cs="Times New Roman PS"/>
        </w:rPr>
        <w:t> </w:t>
      </w:r>
      <w:r w:rsidRPr="00E847CF">
        <w:rPr>
          <w:rFonts w:cs="Times New Roman PS"/>
        </w:rPr>
        <w:t>951, 124 Stat. 1376 (2010) (c</w:t>
      </w:r>
      <w:r>
        <w:rPr>
          <w:rFonts w:cs="Times New Roman PS"/>
        </w:rPr>
        <w:t>odified at 15 U.S.C. § 78n-1).</w:t>
      </w:r>
    </w:p>
  </w:footnote>
  <w:footnote w:id="146">
    <w:p w14:paraId="26A89A6D" w14:textId="62688B19"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While between 1% and 3% of say</w:t>
      </w:r>
      <w:r>
        <w:rPr>
          <w:rFonts w:cs="Times New Roman PS"/>
        </w:rPr>
        <w:t>-</w:t>
      </w:r>
      <w:r w:rsidRPr="00E847CF">
        <w:rPr>
          <w:rFonts w:cs="Times New Roman PS"/>
        </w:rPr>
        <w:t>on</w:t>
      </w:r>
      <w:r>
        <w:rPr>
          <w:rFonts w:cs="Times New Roman PS"/>
        </w:rPr>
        <w:t>-</w:t>
      </w:r>
      <w:r w:rsidRPr="00E847CF">
        <w:rPr>
          <w:rFonts w:cs="Times New Roman PS"/>
        </w:rPr>
        <w:t>pay votes fail each year, that is, achieve less than 50% shareholder approval, in aggregate over 90% of individual say</w:t>
      </w:r>
      <w:r>
        <w:rPr>
          <w:rFonts w:cs="Times New Roman PS"/>
        </w:rPr>
        <w:t>-</w:t>
      </w:r>
      <w:r w:rsidRPr="00E847CF">
        <w:rPr>
          <w:rFonts w:cs="Times New Roman PS"/>
        </w:rPr>
        <w:t>on</w:t>
      </w:r>
      <w:r>
        <w:rPr>
          <w:rFonts w:cs="Times New Roman PS"/>
        </w:rPr>
        <w:t>-</w:t>
      </w:r>
      <w:r w:rsidRPr="00E847CF">
        <w:rPr>
          <w:rFonts w:cs="Times New Roman PS"/>
        </w:rPr>
        <w:t xml:space="preserve">pay votes have been </w:t>
      </w:r>
      <w:r>
        <w:rPr>
          <w:rFonts w:cs="Times New Roman PS"/>
        </w:rPr>
        <w:t>“</w:t>
      </w:r>
      <w:r w:rsidRPr="00E847CF">
        <w:rPr>
          <w:rFonts w:cs="Times New Roman PS"/>
        </w:rPr>
        <w:t>yes</w:t>
      </w:r>
      <w:r>
        <w:rPr>
          <w:rFonts w:cs="Times New Roman PS"/>
        </w:rPr>
        <w:t>”</w:t>
      </w:r>
      <w:r w:rsidRPr="00E847CF">
        <w:rPr>
          <w:rFonts w:cs="Times New Roman PS"/>
        </w:rPr>
        <w:t xml:space="preserve"> votes.</w:t>
      </w:r>
      <w:r>
        <w:rPr>
          <w:rFonts w:cs="Times New Roman PS"/>
        </w:rPr>
        <w:t xml:space="preserve"> </w:t>
      </w:r>
      <w:r w:rsidRPr="006D20A9">
        <w:rPr>
          <w:smallCaps/>
        </w:rPr>
        <w:t>Semler Brossy</w:t>
      </w:r>
      <w:r w:rsidRPr="00E847CF">
        <w:rPr>
          <w:rFonts w:cs="Times New Roman PS"/>
        </w:rPr>
        <w:t xml:space="preserve">, </w:t>
      </w:r>
      <w:r w:rsidRPr="006D20A9">
        <w:rPr>
          <w:smallCaps/>
        </w:rPr>
        <w:t>2018 Say on Pay and Proxy Results</w:t>
      </w:r>
      <w:r w:rsidRPr="00E847CF">
        <w:rPr>
          <w:rFonts w:cs="Times New Roman PS"/>
        </w:rPr>
        <w:t xml:space="preserve"> 6</w:t>
      </w:r>
      <w:r>
        <w:rPr>
          <w:rFonts w:cs="Times New Roman PS"/>
        </w:rPr>
        <w:t xml:space="preserve"> (2018), </w:t>
      </w:r>
      <w:r w:rsidRPr="006D20A9">
        <w:t>https://www</w:t>
      </w:r>
      <w:r w:rsidRPr="00A35104">
        <w:t>.semlerbrossy.com/wp-content/upl</w:t>
      </w:r>
      <w:r>
        <w:t>oads/SBCG-2018-SOP-Report-06-06-</w:t>
      </w:r>
      <w:r w:rsidRPr="00A35104">
        <w:t>2018.pdf</w:t>
      </w:r>
      <w:r>
        <w:t xml:space="preserve"> [https://perma.cc/P4VS-VK8E] </w:t>
      </w:r>
      <w:r w:rsidRPr="00E847CF">
        <w:rPr>
          <w:rFonts w:cs="Times New Roman PS"/>
        </w:rPr>
        <w:t>(detailing say</w:t>
      </w:r>
      <w:r>
        <w:rPr>
          <w:rFonts w:cs="Times New Roman PS"/>
        </w:rPr>
        <w:t>-</w:t>
      </w:r>
      <w:r w:rsidRPr="00E847CF">
        <w:rPr>
          <w:rFonts w:cs="Times New Roman PS"/>
        </w:rPr>
        <w:t>on</w:t>
      </w:r>
      <w:r>
        <w:rPr>
          <w:rFonts w:cs="Times New Roman PS"/>
        </w:rPr>
        <w:t>-</w:t>
      </w:r>
      <w:r w:rsidRPr="00E847CF">
        <w:rPr>
          <w:rFonts w:cs="Times New Roman PS"/>
        </w:rPr>
        <w:t>pay voting results at Russell 3000 companies from 2011 through 2018).</w:t>
      </w:r>
    </w:p>
  </w:footnote>
  <w:footnote w:id="147">
    <w:p w14:paraId="2D390A96" w14:textId="3724492D" w:rsidR="00051004" w:rsidRPr="00B24BC3" w:rsidRDefault="00051004" w:rsidP="00B24BC3">
      <w:pPr>
        <w:pStyle w:val="FootNote"/>
      </w:pPr>
      <w:r>
        <w:rPr>
          <w:smallCaps/>
        </w:rPr>
        <w:fldChar w:fldCharType="begin"/>
      </w:r>
      <w:r>
        <w:rPr>
          <w:smallCaps/>
        </w:rPr>
        <w:instrText xml:space="preserve"> ADVANCE \r10 \* MERGEFORMAT </w:instrText>
      </w:r>
      <w:r>
        <w:rPr>
          <w:smallCaps/>
        </w:rPr>
        <w:fldChar w:fldCharType="end"/>
      </w:r>
      <w:r w:rsidRPr="00F155BE">
        <w:rPr>
          <w:rStyle w:val="NoterefInNote"/>
        </w:rPr>
        <w:footnoteRef/>
      </w:r>
      <w:r>
        <w:rPr>
          <w:smallCaps/>
        </w:rPr>
        <w:fldChar w:fldCharType="begin"/>
      </w:r>
      <w:r>
        <w:rPr>
          <w:smallCaps/>
        </w:rPr>
        <w:instrText xml:space="preserve"> ADVANCE \r4 \* MERGEFORMAT </w:instrText>
      </w:r>
      <w:r>
        <w:rPr>
          <w:smallCaps/>
        </w:rPr>
        <w:fldChar w:fldCharType="end"/>
      </w:r>
      <w:r w:rsidRPr="002672CC">
        <w:rPr>
          <w:smallCaps/>
        </w:rPr>
        <w:t>Michael Keebaugh</w:t>
      </w:r>
      <w:r w:rsidRPr="002672CC">
        <w:rPr>
          <w:rFonts w:cs="Times New Roman PS"/>
          <w:smallCaps/>
          <w:szCs w:val="18"/>
        </w:rPr>
        <w:t>, Kelly Malafis &amp; Robert Martin</w:t>
      </w:r>
      <w:r w:rsidRPr="002672CC">
        <w:rPr>
          <w:smallCaps/>
        </w:rPr>
        <w:t>, CAPFlash: Institutional Shareholder Voting Practices for Say on Pay</w:t>
      </w:r>
      <w:r>
        <w:t xml:space="preserve"> 1 (</w:t>
      </w:r>
      <w:r w:rsidRPr="00B24BC3">
        <w:t>2016</w:t>
      </w:r>
      <w:r>
        <w:t>)</w:t>
      </w:r>
      <w:r w:rsidRPr="00B24BC3">
        <w:rPr>
          <w:szCs w:val="18"/>
        </w:rPr>
        <w:t>, https://www.capartners.com</w:t>
      </w:r>
      <w:r>
        <w:rPr>
          <w:szCs w:val="18"/>
        </w:rPr>
        <w:br/>
      </w:r>
      <w:r w:rsidRPr="00B24BC3">
        <w:rPr>
          <w:szCs w:val="18"/>
        </w:rPr>
        <w:t>/wp-content/uploads/news/id317/capartners.com-capflash-issue92.pdf [https://perma.cc</w:t>
      </w:r>
      <w:r>
        <w:rPr>
          <w:szCs w:val="18"/>
        </w:rPr>
        <w:br/>
      </w:r>
      <w:r w:rsidRPr="00B24BC3">
        <w:rPr>
          <w:szCs w:val="18"/>
        </w:rPr>
        <w:t>/QC2S-GEV3</w:t>
      </w:r>
      <w:r w:rsidRPr="00B24BC3">
        <w:rPr>
          <w:rFonts w:cs="Times New Roman PS"/>
          <w:szCs w:val="18"/>
        </w:rPr>
        <w:t>].</w:t>
      </w:r>
      <w:r w:rsidRPr="00B24BC3">
        <w:t xml:space="preserve"> The institutional shareholder at the </w:t>
      </w:r>
      <w:r>
        <w:t>twenty-fifth</w:t>
      </w:r>
      <w:r w:rsidRPr="00B24BC3">
        <w:t xml:space="preserve"> percentile voted no 4.3% of the time and the</w:t>
      </w:r>
      <w:r w:rsidRPr="00B24BC3">
        <w:rPr>
          <w:rFonts w:cs="Times New Roman PS"/>
        </w:rPr>
        <w:t xml:space="preserve"> </w:t>
      </w:r>
      <w:r w:rsidRPr="00B24BC3">
        <w:t xml:space="preserve">shareholder at the </w:t>
      </w:r>
      <w:r>
        <w:t>seventy-fifth</w:t>
      </w:r>
      <w:r w:rsidRPr="00B24BC3">
        <w:t xml:space="preserve"> percentile voted no 11.7% of the time. </w:t>
      </w:r>
      <w:r w:rsidRPr="00B24BC3">
        <w:rPr>
          <w:i/>
        </w:rPr>
        <w:t>Id.</w:t>
      </w:r>
    </w:p>
  </w:footnote>
  <w:footnote w:id="148">
    <w:p w14:paraId="0057DECF" w14:textId="1F0AA22B"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Id.</w:t>
      </w:r>
    </w:p>
  </w:footnote>
  <w:footnote w:id="149">
    <w:p w14:paraId="460B5529" w14:textId="3EE8CC79"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Jill Fisch</w:t>
      </w:r>
      <w:r>
        <w:rPr>
          <w:rFonts w:cs="Times New Roman PS"/>
        </w:rPr>
        <w:t>, Darius Palia &amp; Steven Davidoff Solomon</w:t>
      </w:r>
      <w:r w:rsidRPr="00E847CF">
        <w:rPr>
          <w:rFonts w:cs="Times New Roman PS"/>
        </w:rPr>
        <w:t xml:space="preserve">, </w:t>
      </w:r>
      <w:r w:rsidRPr="00E847CF">
        <w:rPr>
          <w:rFonts w:cs="Times New Roman PS"/>
          <w:i/>
        </w:rPr>
        <w:t>Is Say on Pay All About Pay? The Impact of Firm Performance</w:t>
      </w:r>
      <w:r w:rsidRPr="00E847CF">
        <w:rPr>
          <w:rFonts w:cs="Times New Roman PS"/>
        </w:rPr>
        <w:t xml:space="preserve">, 8 </w:t>
      </w:r>
      <w:r w:rsidRPr="00E847CF">
        <w:rPr>
          <w:rFonts w:cs="Times New Roman PS"/>
          <w:smallCaps/>
        </w:rPr>
        <w:t>Harv. Bus. L. Rev.</w:t>
      </w:r>
      <w:r w:rsidRPr="00E847CF">
        <w:rPr>
          <w:rFonts w:cs="Times New Roman PS"/>
        </w:rPr>
        <w:t xml:space="preserve"> 101, 103 (2018).</w:t>
      </w:r>
    </w:p>
  </w:footnote>
  <w:footnote w:id="150">
    <w:p w14:paraId="3BCED4F2" w14:textId="7E382032"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_Ref18937095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4.</w:t>
      </w:r>
    </w:p>
  </w:footnote>
  <w:footnote w:id="151">
    <w:p w14:paraId="08CC21FB" w14:textId="59EA7DC6" w:rsidR="00051004" w:rsidRPr="00B24BC3" w:rsidRDefault="00051004" w:rsidP="00B24BC3">
      <w:pPr>
        <w:pStyle w:val="FootNote"/>
      </w:pPr>
      <w:r>
        <w:rPr>
          <w:rFonts w:cs="Times New Roman PS"/>
          <w:szCs w:val="18"/>
        </w:rPr>
        <w:fldChar w:fldCharType="begin"/>
      </w:r>
      <w:r>
        <w:rPr>
          <w:rFonts w:cs="Times New Roman PS"/>
          <w:szCs w:val="18"/>
        </w:rPr>
        <w:instrText xml:space="preserve"> ADVANCE \r10 \* MERGEFORMAT </w:instrText>
      </w:r>
      <w:r>
        <w:rPr>
          <w:rFonts w:cs="Times New Roman PS"/>
          <w:szCs w:val="18"/>
        </w:rPr>
        <w:fldChar w:fldCharType="end"/>
      </w:r>
      <w:r w:rsidRPr="00F155BE">
        <w:rPr>
          <w:rStyle w:val="NoterefInNote"/>
        </w:rPr>
        <w:footnoteRef/>
      </w:r>
      <w:r>
        <w:rPr>
          <w:rFonts w:cs="Times New Roman PS"/>
          <w:szCs w:val="18"/>
        </w:rPr>
        <w:fldChar w:fldCharType="begin"/>
      </w:r>
      <w:r>
        <w:rPr>
          <w:rFonts w:cs="Times New Roman PS"/>
          <w:szCs w:val="18"/>
        </w:rPr>
        <w:instrText xml:space="preserve"> ADVANCE \r4 \* MERGEFORMAT </w:instrText>
      </w:r>
      <w:r>
        <w:rPr>
          <w:rFonts w:cs="Times New Roman PS"/>
          <w:szCs w:val="18"/>
        </w:rPr>
        <w:fldChar w:fldCharType="end"/>
      </w:r>
      <w:r>
        <w:rPr>
          <w:rFonts w:cs="Times New Roman PS"/>
          <w:i/>
          <w:szCs w:val="18"/>
        </w:rPr>
        <w:t>See id.</w:t>
      </w:r>
      <w:r w:rsidRPr="00B24BC3">
        <w:rPr>
          <w:rFonts w:cs="Times New Roman PS"/>
          <w:szCs w:val="18"/>
        </w:rPr>
        <w:t xml:space="preserve"> at 27.</w:t>
      </w:r>
    </w:p>
  </w:footnote>
  <w:footnote w:id="152">
    <w:p w14:paraId="1A405A66" w14:textId="663F6A7A"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2672CC">
        <w:rPr>
          <w:rFonts w:cs="Times New Roman PS"/>
          <w:i/>
        </w:rPr>
        <w:t>Table: The P&amp;I/Watson Wyatt World 500</w:t>
      </w:r>
      <w:r>
        <w:rPr>
          <w:rFonts w:cs="Times New Roman PS"/>
        </w:rPr>
        <w:t xml:space="preserve">, </w:t>
      </w:r>
      <w:r>
        <w:rPr>
          <w:rFonts w:cs="Times New Roman PS"/>
          <w:i/>
          <w:iCs/>
        </w:rPr>
        <w:t>supra</w:t>
      </w:r>
      <w:r>
        <w:rPr>
          <w:rFonts w:cs="Times New Roman PS"/>
        </w:rPr>
        <w:t xml:space="preserve"> note </w:t>
      </w:r>
      <w:r>
        <w:rPr>
          <w:rFonts w:cs="Times New Roman PS"/>
        </w:rPr>
        <w:fldChar w:fldCharType="begin"/>
      </w:r>
      <w:r>
        <w:rPr>
          <w:rFonts w:cs="Times New Roman PS"/>
        </w:rPr>
        <w:instrText xml:space="preserve"> NOTEREF _Ref21086610 \h </w:instrText>
      </w:r>
      <w:r>
        <w:rPr>
          <w:rFonts w:cs="Times New Roman PS"/>
        </w:rPr>
      </w:r>
      <w:r>
        <w:rPr>
          <w:rFonts w:cs="Times New Roman PS"/>
        </w:rPr>
        <w:fldChar w:fldCharType="separate"/>
      </w:r>
      <w:r w:rsidR="005C51FD">
        <w:rPr>
          <w:rFonts w:cs="Times New Roman PS"/>
        </w:rPr>
        <w:t>128</w:t>
      </w:r>
      <w:r>
        <w:rPr>
          <w:rFonts w:cs="Times New Roman PS"/>
        </w:rPr>
        <w:fldChar w:fldCharType="end"/>
      </w:r>
      <w:r>
        <w:rPr>
          <w:rFonts w:cs="Times New Roman PS"/>
        </w:rPr>
        <w:t>.</w:t>
      </w:r>
    </w:p>
  </w:footnote>
  <w:footnote w:id="153">
    <w:p w14:paraId="31D8C815" w14:textId="46128CB1"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_Ref18937095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27.</w:t>
      </w:r>
    </w:p>
  </w:footnote>
  <w:footnote w:id="154">
    <w:p w14:paraId="35130A5F" w14:textId="12DAFDF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See Omnibus Budget Reconciliation Act of 1993</w:t>
      </w:r>
      <w:r>
        <w:rPr>
          <w:rFonts w:cs="Times New Roman PS"/>
        </w:rPr>
        <w:t xml:space="preserve">, Pub. L. No. 103-66, § 13211, 107 Stat. 312, 469-70 (codified as amended at </w:t>
      </w:r>
      <w:r w:rsidRPr="00DF29F8">
        <w:rPr>
          <w:rFonts w:cs="Times New Roman PS"/>
        </w:rPr>
        <w:t>I</w:t>
      </w:r>
      <w:r>
        <w:rPr>
          <w:rFonts w:cs="Times New Roman PS"/>
        </w:rPr>
        <w:t>.</w:t>
      </w:r>
      <w:r w:rsidRPr="00E847CF">
        <w:rPr>
          <w:rFonts w:cs="Times New Roman PS"/>
        </w:rPr>
        <w:t>R</w:t>
      </w:r>
      <w:r>
        <w:rPr>
          <w:rFonts w:cs="Times New Roman PS"/>
        </w:rPr>
        <w:t>.</w:t>
      </w:r>
      <w:r w:rsidRPr="00E847CF">
        <w:rPr>
          <w:rFonts w:cs="Times New Roman PS"/>
        </w:rPr>
        <w:t>C</w:t>
      </w:r>
      <w:r>
        <w:rPr>
          <w:rFonts w:cs="Times New Roman PS"/>
        </w:rPr>
        <w:t>.</w:t>
      </w:r>
      <w:r w:rsidRPr="00E847CF">
        <w:rPr>
          <w:rFonts w:cs="Times New Roman PS"/>
        </w:rPr>
        <w:t xml:space="preserve"> §</w:t>
      </w:r>
      <w:r>
        <w:rPr>
          <w:rFonts w:cs="Times New Roman PS"/>
        </w:rPr>
        <w:t> </w:t>
      </w:r>
      <w:r w:rsidRPr="00E847CF">
        <w:rPr>
          <w:rFonts w:cs="Times New Roman PS"/>
        </w:rPr>
        <w:t>162(m)</w:t>
      </w:r>
      <w:r>
        <w:rPr>
          <w:rFonts w:cs="Times New Roman PS"/>
        </w:rPr>
        <w:t>)</w:t>
      </w:r>
      <w:r w:rsidRPr="00E847CF">
        <w:rPr>
          <w:rFonts w:cs="Times New Roman PS"/>
        </w:rPr>
        <w:t>.</w:t>
      </w:r>
      <w:r>
        <w:rPr>
          <w:rFonts w:cs="Times New Roman PS"/>
        </w:rPr>
        <w:t xml:space="preserve"> </w:t>
      </w:r>
      <w:r w:rsidRPr="00E847CF">
        <w:rPr>
          <w:rFonts w:cs="Times New Roman PS"/>
        </w:rPr>
        <w:t>Section 162(m) was amended by the Tax Cuts and Jobs Act (TCJA)</w:t>
      </w:r>
      <w:r>
        <w:rPr>
          <w:rFonts w:cs="Times New Roman PS"/>
        </w:rPr>
        <w:t xml:space="preserve"> of 2017</w:t>
      </w:r>
      <w:r w:rsidRPr="00E847CF">
        <w:rPr>
          <w:rFonts w:cs="Times New Roman PS"/>
        </w:rPr>
        <w:t xml:space="preserve">, Pub. L. No. 115-97, </w:t>
      </w:r>
      <w:r>
        <w:rPr>
          <w:rFonts w:cs="Times New Roman PS"/>
        </w:rPr>
        <w:t xml:space="preserve">§ 13211(a), </w:t>
      </w:r>
      <w:r w:rsidRPr="00E847CF">
        <w:rPr>
          <w:rFonts w:cs="Times New Roman PS"/>
        </w:rPr>
        <w:t>131 Stat. 2054</w:t>
      </w:r>
      <w:r>
        <w:rPr>
          <w:rFonts w:cs="Times New Roman PS"/>
        </w:rPr>
        <w:t>, 2155-56 (codified at I.R.C. § 162(m))</w:t>
      </w:r>
      <w:r w:rsidRPr="00E847CF">
        <w:rPr>
          <w:rFonts w:cs="Times New Roman PS"/>
        </w:rPr>
        <w:t>, to deny deductibility for all senior executive pay in excess of $1 million per year, regardless of any performance linka</w:t>
      </w:r>
      <w:r>
        <w:rPr>
          <w:rFonts w:cs="Times New Roman PS"/>
        </w:rPr>
        <w:t>ge.</w:t>
      </w:r>
    </w:p>
  </w:footnote>
  <w:footnote w:id="155">
    <w:p w14:paraId="3681B967" w14:textId="1CF1B2D7"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e.g</w:t>
      </w:r>
      <w:r w:rsidRPr="006D20A9">
        <w:rPr>
          <w:i/>
        </w:rPr>
        <w:t>.</w:t>
      </w:r>
      <w:r w:rsidRPr="00E847CF">
        <w:rPr>
          <w:rFonts w:cs="Times New Roman PS"/>
        </w:rPr>
        <w:t xml:space="preserve">, Tod Perry &amp; Marc Zenner, </w:t>
      </w:r>
      <w:r w:rsidRPr="00E847CF">
        <w:rPr>
          <w:rFonts w:cs="Times New Roman PS"/>
          <w:i/>
        </w:rPr>
        <w:t>Pay for Performance? Government Regulation and the Structure of Compensation Contracts</w:t>
      </w:r>
      <w:r w:rsidRPr="00E847CF">
        <w:rPr>
          <w:rFonts w:cs="Times New Roman PS"/>
        </w:rPr>
        <w:t>, 62 J</w:t>
      </w:r>
      <w:r w:rsidRPr="00E847CF">
        <w:rPr>
          <w:rFonts w:cs="Times New Roman PS"/>
          <w:smallCaps/>
        </w:rPr>
        <w:t>. Fin. Econ</w:t>
      </w:r>
      <w:r w:rsidRPr="00E847CF">
        <w:rPr>
          <w:rFonts w:cs="Times New Roman PS"/>
        </w:rPr>
        <w:t>. 453, 456 (2001) (finding</w:t>
      </w:r>
      <w:r w:rsidR="00674B72">
        <w:rPr>
          <w:rFonts w:cs="Times New Roman PS"/>
        </w:rPr>
        <w:t xml:space="preserve"> </w:t>
      </w:r>
      <w:r w:rsidRPr="00E847CF">
        <w:rPr>
          <w:rFonts w:cs="Times New Roman PS"/>
        </w:rPr>
        <w:t>reductions in salary and reduced salary growth</w:t>
      </w:r>
      <w:r w:rsidR="00674B72">
        <w:rPr>
          <w:rFonts w:cs="Times New Roman PS"/>
        </w:rPr>
        <w:t xml:space="preserve"> at companies affected by § 162(m)</w:t>
      </w:r>
      <w:r w:rsidRPr="00E847CF">
        <w:rPr>
          <w:rFonts w:cs="Times New Roman PS"/>
        </w:rPr>
        <w:t>).</w:t>
      </w:r>
    </w:p>
  </w:footnote>
  <w:footnote w:id="156">
    <w:p w14:paraId="29B2648F" w14:textId="4D1ADD43"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e.g</w:t>
      </w:r>
      <w:r w:rsidRPr="006D20A9">
        <w:rPr>
          <w:i/>
        </w:rPr>
        <w:t>.</w:t>
      </w:r>
      <w:r w:rsidRPr="00E847CF">
        <w:rPr>
          <w:rFonts w:cs="Times New Roman PS"/>
        </w:rPr>
        <w:t xml:space="preserve">, David G. Harris &amp; Jane R. Livingstone, </w:t>
      </w:r>
      <w:r w:rsidRPr="00E847CF">
        <w:rPr>
          <w:rFonts w:cs="Times New Roman PS"/>
          <w:i/>
        </w:rPr>
        <w:t>Federal Tax Legislation as an Implicit Contracting Cost Benchmark: The Definition of Excessive Executive Compensation</w:t>
      </w:r>
      <w:r w:rsidRPr="00E847CF">
        <w:rPr>
          <w:rFonts w:cs="Times New Roman PS"/>
        </w:rPr>
        <w:t xml:space="preserve">, 77 </w:t>
      </w:r>
      <w:r w:rsidRPr="00E847CF">
        <w:rPr>
          <w:rFonts w:cs="Times New Roman PS"/>
          <w:smallCaps/>
        </w:rPr>
        <w:t>Acct. Rev</w:t>
      </w:r>
      <w:r w:rsidRPr="00E847CF">
        <w:rPr>
          <w:rFonts w:cs="Times New Roman PS"/>
        </w:rPr>
        <w:t>. 997, 1015 (2002) (finding that companies unaffected by §</w:t>
      </w:r>
      <w:r>
        <w:rPr>
          <w:rFonts w:cs="Times New Roman PS"/>
        </w:rPr>
        <w:t> </w:t>
      </w:r>
      <w:r w:rsidRPr="00E847CF">
        <w:rPr>
          <w:rFonts w:cs="Times New Roman PS"/>
        </w:rPr>
        <w:t xml:space="preserve">162(m) </w:t>
      </w:r>
      <w:r w:rsidR="00674B72">
        <w:rPr>
          <w:rFonts w:cs="Times New Roman PS"/>
        </w:rPr>
        <w:t>limited increases in</w:t>
      </w:r>
      <w:r w:rsidRPr="00E847CF">
        <w:rPr>
          <w:rFonts w:cs="Times New Roman PS"/>
        </w:rPr>
        <w:t xml:space="preserve"> CEO cash compensation in proportion to </w:t>
      </w:r>
      <w:r w:rsidR="00674B72">
        <w:rPr>
          <w:rFonts w:cs="Times New Roman PS"/>
        </w:rPr>
        <w:t xml:space="preserve">the </w:t>
      </w:r>
      <w:r w:rsidRPr="00E847CF">
        <w:rPr>
          <w:rFonts w:cs="Times New Roman PS"/>
        </w:rPr>
        <w:t xml:space="preserve">extent </w:t>
      </w:r>
      <w:r>
        <w:rPr>
          <w:rFonts w:cs="Times New Roman PS"/>
        </w:rPr>
        <w:t xml:space="preserve">that </w:t>
      </w:r>
      <w:r w:rsidRPr="00E847CF">
        <w:rPr>
          <w:rFonts w:cs="Times New Roman PS"/>
        </w:rPr>
        <w:t>pay was expected to be below</w:t>
      </w:r>
      <w:r>
        <w:rPr>
          <w:rFonts w:cs="Times New Roman PS"/>
        </w:rPr>
        <w:t xml:space="preserve"> </w:t>
      </w:r>
      <w:r w:rsidR="00674B72">
        <w:rPr>
          <w:rFonts w:cs="Times New Roman PS"/>
        </w:rPr>
        <w:t xml:space="preserve">the </w:t>
      </w:r>
      <w:r w:rsidRPr="00E847CF">
        <w:rPr>
          <w:rFonts w:cs="Times New Roman PS"/>
        </w:rPr>
        <w:t>$1 million benchmark).</w:t>
      </w:r>
    </w:p>
  </w:footnote>
  <w:footnote w:id="157">
    <w:p w14:paraId="3BC88802" w14:textId="2E23B1FA"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e.g</w:t>
      </w:r>
      <w:r w:rsidRPr="006D20A9">
        <w:rPr>
          <w:i/>
        </w:rPr>
        <w:t>.</w:t>
      </w:r>
      <w:r w:rsidRPr="00E847CF">
        <w:rPr>
          <w:rFonts w:cs="Times New Roman PS"/>
        </w:rPr>
        <w:t xml:space="preserve">, Yale D. Tauber, </w:t>
      </w:r>
      <w:r w:rsidRPr="00E847CF">
        <w:rPr>
          <w:rFonts w:cs="Times New Roman PS"/>
          <w:i/>
        </w:rPr>
        <w:t>A Perspective on Executive Compensation</w:t>
      </w:r>
      <w:r w:rsidRPr="00E847CF">
        <w:rPr>
          <w:rFonts w:cs="Times New Roman PS"/>
        </w:rPr>
        <w:t xml:space="preserve">, </w:t>
      </w:r>
      <w:r w:rsidRPr="006D20A9">
        <w:rPr>
          <w:i/>
        </w:rPr>
        <w:t>in</w:t>
      </w:r>
      <w:r w:rsidRPr="00E847CF">
        <w:rPr>
          <w:rFonts w:cs="Times New Roman PS"/>
        </w:rPr>
        <w:t xml:space="preserve"> </w:t>
      </w:r>
      <w:r w:rsidRPr="00E847CF">
        <w:rPr>
          <w:rFonts w:cs="Times New Roman PS"/>
          <w:smallCaps/>
        </w:rPr>
        <w:t>Executive Compensation</w:t>
      </w:r>
      <w:r w:rsidRPr="006D20A9">
        <w:rPr>
          <w:smallCaps/>
        </w:rPr>
        <w:t xml:space="preserve"> </w:t>
      </w:r>
      <w:r>
        <w:rPr>
          <w:rFonts w:cs="Times New Roman PS"/>
          <w:smallCaps/>
        </w:rPr>
        <w:t>1,</w:t>
      </w:r>
      <w:r w:rsidRPr="00E847CF">
        <w:rPr>
          <w:rFonts w:cs="Times New Roman PS"/>
        </w:rPr>
        <w:t xml:space="preserve"> 4</w:t>
      </w:r>
      <w:r>
        <w:rPr>
          <w:rFonts w:cs="Times New Roman PS"/>
        </w:rPr>
        <w:t xml:space="preserve"> tbl.1-1</w:t>
      </w:r>
      <w:r w:rsidRPr="00E847CF">
        <w:rPr>
          <w:rFonts w:cs="Times New Roman PS"/>
        </w:rPr>
        <w:t xml:space="preserve"> (Yale D. Tauber &amp; Donald R. Levy ed</w:t>
      </w:r>
      <w:r>
        <w:rPr>
          <w:rFonts w:cs="Times New Roman PS"/>
        </w:rPr>
        <w:t>s</w:t>
      </w:r>
      <w:r w:rsidRPr="00E847CF">
        <w:rPr>
          <w:rFonts w:cs="Times New Roman PS"/>
        </w:rPr>
        <w:t>., 2002).</w:t>
      </w:r>
    </w:p>
  </w:footnote>
  <w:footnote w:id="158">
    <w:p w14:paraId="17168833" w14:textId="1986D4E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Matthias Benz</w:t>
      </w:r>
      <w:r>
        <w:rPr>
          <w:rFonts w:cs="Times New Roman PS"/>
        </w:rPr>
        <w:t>, Marcel Kucher &amp; Alois Stutzer</w:t>
      </w:r>
      <w:r w:rsidRPr="00E847CF">
        <w:rPr>
          <w:rFonts w:cs="Times New Roman PS"/>
        </w:rPr>
        <w:t xml:space="preserve">, </w:t>
      </w:r>
      <w:r w:rsidRPr="00E847CF">
        <w:rPr>
          <w:rFonts w:cs="Times New Roman PS"/>
          <w:i/>
        </w:rPr>
        <w:t>Are Stock Options the Managers</w:t>
      </w:r>
      <w:r>
        <w:rPr>
          <w:rFonts w:cs="Times New Roman PS"/>
          <w:i/>
        </w:rPr>
        <w:t>’</w:t>
      </w:r>
      <w:r w:rsidRPr="00E847CF">
        <w:rPr>
          <w:rFonts w:cs="Times New Roman PS"/>
          <w:i/>
        </w:rPr>
        <w:t xml:space="preserve"> Blessing? Stock Option Compensation and Institutional Controls</w:t>
      </w:r>
      <w:r w:rsidRPr="00E847CF">
        <w:rPr>
          <w:rFonts w:cs="Times New Roman PS"/>
        </w:rPr>
        <w:t xml:space="preserve"> 22 (Zurich Inst. </w:t>
      </w:r>
      <w:r>
        <w:rPr>
          <w:rFonts w:cs="Times New Roman PS"/>
        </w:rPr>
        <w:t>f</w:t>
      </w:r>
      <w:r w:rsidRPr="00E847CF">
        <w:rPr>
          <w:rFonts w:cs="Times New Roman PS"/>
        </w:rPr>
        <w:t>or Empirical Research in Econ., Working Paper No. 61, 2001)</w:t>
      </w:r>
      <w:r>
        <w:rPr>
          <w:rFonts w:cs="Times New Roman PS"/>
        </w:rPr>
        <w:t xml:space="preserve">, </w:t>
      </w:r>
      <w:r w:rsidRPr="00C009FD">
        <w:t>https://papers.ssrn.com/sol3</w:t>
      </w:r>
      <w:r>
        <w:br/>
      </w:r>
      <w:r w:rsidRPr="00C009FD">
        <w:t>/papers.cfm?abstract_id=251009</w:t>
      </w:r>
      <w:r>
        <w:t xml:space="preserve"> [</w:t>
      </w:r>
      <w:r w:rsidRPr="00C009FD">
        <w:t>https://perma.cc/3DNC-5Q3M</w:t>
      </w:r>
      <w:r>
        <w:t>]</w:t>
      </w:r>
      <w:r w:rsidRPr="00E847CF">
        <w:rPr>
          <w:rFonts w:cs="Times New Roman PS"/>
        </w:rPr>
        <w:t xml:space="preserve">; Marianne Bertrand </w:t>
      </w:r>
      <w:r>
        <w:rPr>
          <w:rFonts w:cs="Times New Roman PS"/>
        </w:rPr>
        <w:t>&amp;</w:t>
      </w:r>
      <w:r w:rsidRPr="00E847CF">
        <w:rPr>
          <w:rFonts w:cs="Times New Roman PS"/>
        </w:rPr>
        <w:t xml:space="preserve"> Sendhil Mullainathan, </w:t>
      </w:r>
      <w:r w:rsidRPr="00E847CF">
        <w:rPr>
          <w:rFonts w:cs="Times New Roman PS"/>
          <w:i/>
        </w:rPr>
        <w:t>Do CEOs Set Their Own Pay? The Ones Without Principles Do</w:t>
      </w:r>
      <w:r>
        <w:rPr>
          <w:rFonts w:cs="Times New Roman PS"/>
        </w:rPr>
        <w:t xml:space="preserve"> 6 </w:t>
      </w:r>
      <w:r w:rsidRPr="00E847CF">
        <w:rPr>
          <w:rFonts w:cs="Times New Roman PS"/>
        </w:rPr>
        <w:t>(</w:t>
      </w:r>
      <w:r>
        <w:rPr>
          <w:rFonts w:cs="Times New Roman PS"/>
        </w:rPr>
        <w:t>Nat’l Bureau of Econ. Research, Working Paper No. 7604</w:t>
      </w:r>
      <w:r w:rsidRPr="00E847CF">
        <w:rPr>
          <w:rFonts w:cs="Times New Roman PS"/>
        </w:rPr>
        <w:t>, 2000)</w:t>
      </w:r>
      <w:r>
        <w:rPr>
          <w:rFonts w:cs="Times New Roman PS"/>
        </w:rPr>
        <w:t xml:space="preserve">, </w:t>
      </w:r>
      <w:r w:rsidRPr="00C009FD">
        <w:t>https://www.nber.org</w:t>
      </w:r>
      <w:r>
        <w:br/>
      </w:r>
      <w:r w:rsidRPr="00C009FD">
        <w:t>/papers/w7604.pdf</w:t>
      </w:r>
      <w:r>
        <w:t xml:space="preserve"> [</w:t>
      </w:r>
      <w:r w:rsidRPr="00C009FD">
        <w:t>https://perma.cc/JRG7-Y6AZ</w:t>
      </w:r>
      <w:r>
        <w:t>]</w:t>
      </w:r>
      <w:r w:rsidRPr="00E847CF">
        <w:rPr>
          <w:rFonts w:cs="Times New Roman PS"/>
        </w:rPr>
        <w:t>.</w:t>
      </w:r>
    </w:p>
  </w:footnote>
  <w:footnote w:id="159">
    <w:p w14:paraId="5673CD57" w14:textId="2215FC0C" w:rsidR="00051004" w:rsidRPr="00B24BC3" w:rsidRDefault="00051004" w:rsidP="00B24BC3">
      <w:pPr>
        <w:pStyle w:val="FootNote"/>
      </w:pPr>
      <w:r>
        <w:rPr>
          <w:szCs w:val="18"/>
        </w:rPr>
        <w:fldChar w:fldCharType="begin"/>
      </w:r>
      <w:r>
        <w:rPr>
          <w:szCs w:val="18"/>
        </w:rPr>
        <w:instrText xml:space="preserve"> ADVANCE \r10 \* MERGEFORMAT </w:instrText>
      </w:r>
      <w:r>
        <w:rPr>
          <w:szCs w:val="18"/>
        </w:rPr>
        <w:fldChar w:fldCharType="end"/>
      </w:r>
      <w:r w:rsidRPr="00F155BE">
        <w:rPr>
          <w:rStyle w:val="NoterefInNote"/>
        </w:rPr>
        <w:footnoteRef/>
      </w:r>
      <w:r>
        <w:rPr>
          <w:szCs w:val="18"/>
        </w:rPr>
        <w:fldChar w:fldCharType="begin"/>
      </w:r>
      <w:r>
        <w:rPr>
          <w:szCs w:val="18"/>
        </w:rPr>
        <w:instrText xml:space="preserve"> ADVANCE \r4 \* MERGEFORMAT </w:instrText>
      </w:r>
      <w:r>
        <w:rPr>
          <w:szCs w:val="18"/>
        </w:rPr>
        <w:fldChar w:fldCharType="end"/>
      </w:r>
      <w:r w:rsidRPr="00B24BC3">
        <w:rPr>
          <w:szCs w:val="18"/>
        </w:rPr>
        <w:t>In 2016</w:t>
      </w:r>
      <w:r w:rsidRPr="00B24BC3">
        <w:rPr>
          <w:rFonts w:cs="Times New Roman PS"/>
        </w:rPr>
        <w:t>, for example, 86% of the public</w:t>
      </w:r>
      <w:r>
        <w:rPr>
          <w:rFonts w:cs="Times New Roman PS"/>
        </w:rPr>
        <w:t>-</w:t>
      </w:r>
      <w:r w:rsidRPr="00B24BC3">
        <w:rPr>
          <w:rFonts w:cs="Times New Roman PS"/>
        </w:rPr>
        <w:t>company senior executives whose compensation is reported in the Compustat Execu</w:t>
      </w:r>
      <w:r>
        <w:rPr>
          <w:rFonts w:cs="Times New Roman PS"/>
        </w:rPr>
        <w:t>C</w:t>
      </w:r>
      <w:r w:rsidRPr="00B24BC3">
        <w:rPr>
          <w:rFonts w:cs="Times New Roman PS"/>
        </w:rPr>
        <w:t>omp database received some form of equity compensation grant</w:t>
      </w:r>
      <w:r>
        <w:rPr>
          <w:rFonts w:cs="Times New Roman PS"/>
        </w:rPr>
        <w:t xml:space="preserve"> (a</w:t>
      </w:r>
      <w:r w:rsidRPr="00B24BC3">
        <w:rPr>
          <w:rFonts w:cs="Times New Roman PS"/>
        </w:rPr>
        <w:t>uthor</w:t>
      </w:r>
      <w:r>
        <w:rPr>
          <w:rFonts w:cs="Times New Roman PS"/>
        </w:rPr>
        <w:t>’</w:t>
      </w:r>
      <w:r w:rsidRPr="00B24BC3">
        <w:rPr>
          <w:rFonts w:cs="Times New Roman PS"/>
        </w:rPr>
        <w:t>s calculation</w:t>
      </w:r>
      <w:r>
        <w:rPr>
          <w:rFonts w:cs="Times New Roman PS"/>
        </w:rPr>
        <w:t>)</w:t>
      </w:r>
      <w:r w:rsidRPr="00B24BC3">
        <w:rPr>
          <w:rFonts w:cs="Times New Roman PS"/>
        </w:rPr>
        <w:t>.</w:t>
      </w:r>
    </w:p>
  </w:footnote>
  <w:footnote w:id="160">
    <w:p w14:paraId="33996104" w14:textId="2BADAE85" w:rsidR="00051004" w:rsidRPr="00E847CF" w:rsidRDefault="00051004" w:rsidP="00E847CF">
      <w:pPr>
        <w:pStyle w:val="FootNote"/>
        <w:rPr>
          <w:rFonts w:cs="Times New Roman PS"/>
          <w:b/>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Alex Edmans, </w:t>
      </w:r>
      <w:r>
        <w:rPr>
          <w:rFonts w:cs="Times New Roman PS"/>
        </w:rPr>
        <w:t>Vivian W. Fang &amp; Katharina A. Lewellen</w:t>
      </w:r>
      <w:r w:rsidRPr="00E847CF">
        <w:rPr>
          <w:rFonts w:cs="Times New Roman PS"/>
        </w:rPr>
        <w:t xml:space="preserve">, </w:t>
      </w:r>
      <w:r w:rsidRPr="00E847CF">
        <w:rPr>
          <w:rFonts w:cs="Times New Roman PS"/>
          <w:i/>
        </w:rPr>
        <w:t>Equity Vesting and Investment</w:t>
      </w:r>
      <w:r w:rsidRPr="00E847CF">
        <w:rPr>
          <w:rFonts w:cs="Times New Roman PS"/>
        </w:rPr>
        <w:t xml:space="preserve">, 30 </w:t>
      </w:r>
      <w:r w:rsidRPr="00E847CF">
        <w:rPr>
          <w:rFonts w:cs="Times New Roman PS"/>
          <w:smallCaps/>
        </w:rPr>
        <w:t>Rev. Fin. Stud</w:t>
      </w:r>
      <w:r>
        <w:rPr>
          <w:rFonts w:cs="Times New Roman PS"/>
          <w:smallCaps/>
        </w:rPr>
        <w:t>.</w:t>
      </w:r>
      <w:r w:rsidRPr="00E847CF">
        <w:rPr>
          <w:rFonts w:cs="Times New Roman PS"/>
        </w:rPr>
        <w:t xml:space="preserve"> 2229, 2230 (2017) (noting that executive equity sales are highly correlated with vesting).</w:t>
      </w:r>
    </w:p>
  </w:footnote>
  <w:footnote w:id="161">
    <w:p w14:paraId="1E2BAB33" w14:textId="617B697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Suppose, for example, that ACME issues its CEO </w:t>
      </w:r>
      <w:r>
        <w:rPr>
          <w:rFonts w:cs="Times New Roman PS"/>
        </w:rPr>
        <w:t>1000</w:t>
      </w:r>
      <w:r w:rsidRPr="00E847CF">
        <w:rPr>
          <w:rFonts w:cs="Times New Roman PS"/>
        </w:rPr>
        <w:t xml:space="preserve"> shares of stock each year that vest in three years and that the CEO immediately sells the vested shares.</w:t>
      </w:r>
      <w:r>
        <w:rPr>
          <w:rFonts w:cs="Times New Roman PS"/>
        </w:rPr>
        <w:t xml:space="preserve"> </w:t>
      </w:r>
      <w:r w:rsidRPr="00E847CF">
        <w:rPr>
          <w:rFonts w:cs="Times New Roman PS"/>
        </w:rPr>
        <w:t xml:space="preserve">In steady state, the CEO will hold </w:t>
      </w:r>
      <w:r>
        <w:rPr>
          <w:rFonts w:cs="Times New Roman PS"/>
        </w:rPr>
        <w:t>3000</w:t>
      </w:r>
      <w:r w:rsidRPr="00E847CF">
        <w:rPr>
          <w:rFonts w:cs="Times New Roman PS"/>
        </w:rPr>
        <w:t xml:space="preserve"> unvested shares at any time.</w:t>
      </w:r>
      <w:r>
        <w:rPr>
          <w:rFonts w:cs="Times New Roman PS"/>
        </w:rPr>
        <w:t xml:space="preserve"> </w:t>
      </w:r>
      <w:r w:rsidRPr="00E847CF">
        <w:rPr>
          <w:rFonts w:cs="Times New Roman PS"/>
        </w:rPr>
        <w:t xml:space="preserve">If the vesting period is increased to five years, she will hold </w:t>
      </w:r>
      <w:r>
        <w:rPr>
          <w:rFonts w:cs="Times New Roman PS"/>
        </w:rPr>
        <w:t>5000</w:t>
      </w:r>
      <w:r w:rsidRPr="00E847CF">
        <w:rPr>
          <w:rFonts w:cs="Times New Roman PS"/>
        </w:rPr>
        <w:t xml:space="preserve"> unvested shares at any time.</w:t>
      </w:r>
    </w:p>
  </w:footnote>
  <w:footnote w:id="162">
    <w:p w14:paraId="7B8A3631" w14:textId="7B8BD73D"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Kevin J. Murphy, </w:t>
      </w:r>
      <w:r w:rsidRPr="00E847CF">
        <w:rPr>
          <w:rFonts w:cs="Times New Roman PS"/>
          <w:i/>
        </w:rPr>
        <w:t>Executive Compensation</w:t>
      </w:r>
      <w:r w:rsidRPr="00E847CF">
        <w:rPr>
          <w:rFonts w:cs="Times New Roman PS"/>
        </w:rPr>
        <w:t>,</w:t>
      </w:r>
      <w:r w:rsidRPr="006D20A9">
        <w:rPr>
          <w:i/>
        </w:rPr>
        <w:t xml:space="preserve"> in</w:t>
      </w:r>
      <w:r w:rsidRPr="00E847CF">
        <w:rPr>
          <w:rFonts w:cs="Times New Roman PS"/>
        </w:rPr>
        <w:t xml:space="preserve"> </w:t>
      </w:r>
      <w:r>
        <w:rPr>
          <w:rFonts w:cs="Times New Roman PS"/>
        </w:rPr>
        <w:t xml:space="preserve">3 </w:t>
      </w:r>
      <w:r w:rsidRPr="00E847CF">
        <w:rPr>
          <w:rFonts w:cs="Times New Roman PS"/>
          <w:smallCaps/>
        </w:rPr>
        <w:t>Handbook of Labor Economics</w:t>
      </w:r>
      <w:r w:rsidRPr="00E847CF">
        <w:rPr>
          <w:rFonts w:cs="Times New Roman PS"/>
        </w:rPr>
        <w:t xml:space="preserve"> 2485, 2507-10 (Orley Ashenfelter &amp; David Cards eds., 1999).</w:t>
      </w:r>
      <w:r>
        <w:rPr>
          <w:rFonts w:cs="Times New Roman PS"/>
        </w:rPr>
        <w:t xml:space="preserve"> These option-vesting practices remain prevalent today. </w:t>
      </w:r>
      <w:r>
        <w:rPr>
          <w:rFonts w:cs="Times New Roman PS"/>
          <w:i/>
        </w:rPr>
        <w:t>See</w:t>
      </w:r>
      <w:r>
        <w:rPr>
          <w:rFonts w:cs="Times New Roman PS"/>
        </w:rPr>
        <w:t xml:space="preserve"> </w:t>
      </w:r>
      <w:r w:rsidRPr="002672CC">
        <w:rPr>
          <w:rFonts w:cs="Times New Roman PS"/>
          <w:smallCaps/>
          <w:szCs w:val="18"/>
        </w:rPr>
        <w:t>FW Cook</w:t>
      </w:r>
      <w:r w:rsidRPr="00B6050A">
        <w:rPr>
          <w:rFonts w:cs="Times New Roman PS"/>
          <w:szCs w:val="18"/>
        </w:rPr>
        <w:t xml:space="preserve">, </w:t>
      </w:r>
      <w:r w:rsidRPr="00B6050A">
        <w:rPr>
          <w:rFonts w:cs="Times New Roman PS"/>
          <w:i/>
          <w:iCs/>
          <w:szCs w:val="18"/>
        </w:rPr>
        <w:t>supra</w:t>
      </w:r>
      <w:r w:rsidRPr="00B6050A">
        <w:rPr>
          <w:rFonts w:cs="Times New Roman PS"/>
          <w:szCs w:val="18"/>
        </w:rPr>
        <w:t xml:space="preserve"> note </w:t>
      </w:r>
      <w:r>
        <w:rPr>
          <w:rFonts w:cs="Times New Roman PS"/>
          <w:szCs w:val="18"/>
        </w:rPr>
        <w:fldChar w:fldCharType="begin"/>
      </w:r>
      <w:r>
        <w:rPr>
          <w:rFonts w:cs="Times New Roman PS"/>
          <w:szCs w:val="18"/>
        </w:rPr>
        <w:instrText xml:space="preserve"> NOTEREF _Ref18937349 \h </w:instrText>
      </w:r>
      <w:r>
        <w:rPr>
          <w:rFonts w:cs="Times New Roman PS"/>
          <w:szCs w:val="18"/>
        </w:rPr>
      </w:r>
      <w:r>
        <w:rPr>
          <w:rFonts w:cs="Times New Roman PS"/>
          <w:szCs w:val="18"/>
        </w:rPr>
        <w:fldChar w:fldCharType="separate"/>
      </w:r>
      <w:r w:rsidR="005C51FD">
        <w:rPr>
          <w:rFonts w:cs="Times New Roman PS"/>
          <w:szCs w:val="18"/>
        </w:rPr>
        <w:t>61</w:t>
      </w:r>
      <w:r>
        <w:rPr>
          <w:rFonts w:cs="Times New Roman PS"/>
          <w:szCs w:val="18"/>
        </w:rPr>
        <w:fldChar w:fldCharType="end"/>
      </w:r>
      <w:r w:rsidRPr="00B6050A">
        <w:rPr>
          <w:rFonts w:cs="Times New Roman PS"/>
          <w:szCs w:val="18"/>
        </w:rPr>
        <w:t>, at 1</w:t>
      </w:r>
      <w:r>
        <w:rPr>
          <w:rFonts w:cs="Times New Roman PS"/>
          <w:szCs w:val="18"/>
        </w:rPr>
        <w:t>3</w:t>
      </w:r>
      <w:r w:rsidRPr="00B6050A">
        <w:rPr>
          <w:rFonts w:cs="Times New Roman PS"/>
          <w:szCs w:val="18"/>
        </w:rPr>
        <w:t xml:space="preserve"> (</w:t>
      </w:r>
      <w:r>
        <w:rPr>
          <w:rFonts w:cs="Times New Roman PS"/>
          <w:szCs w:val="18"/>
        </w:rPr>
        <w:t>stating</w:t>
      </w:r>
      <w:r w:rsidRPr="00B6050A">
        <w:rPr>
          <w:rFonts w:cs="Times New Roman PS"/>
          <w:szCs w:val="18"/>
        </w:rPr>
        <w:t xml:space="preserve"> </w:t>
      </w:r>
      <w:r>
        <w:rPr>
          <w:rFonts w:cs="Times New Roman PS"/>
          <w:szCs w:val="18"/>
        </w:rPr>
        <w:t>that 97</w:t>
      </w:r>
      <w:r w:rsidRPr="00B6050A">
        <w:rPr>
          <w:rFonts w:cs="Times New Roman PS"/>
          <w:szCs w:val="18"/>
        </w:rPr>
        <w:t xml:space="preserve">% of </w:t>
      </w:r>
      <w:r>
        <w:rPr>
          <w:rFonts w:cs="Times New Roman PS"/>
          <w:szCs w:val="18"/>
        </w:rPr>
        <w:t>250 largest S&amp;P 500</w:t>
      </w:r>
      <w:r w:rsidRPr="00B6050A">
        <w:rPr>
          <w:rFonts w:cs="Times New Roman PS"/>
          <w:szCs w:val="18"/>
        </w:rPr>
        <w:t xml:space="preserve"> companies </w:t>
      </w:r>
      <w:r>
        <w:rPr>
          <w:rFonts w:cs="Times New Roman PS"/>
          <w:szCs w:val="18"/>
        </w:rPr>
        <w:t>surveyed in 2018 reported that their option grants vested in three to five years</w:t>
      </w:r>
      <w:r w:rsidRPr="00B6050A">
        <w:rPr>
          <w:rFonts w:cs="Times New Roman PS"/>
          <w:szCs w:val="18"/>
        </w:rPr>
        <w:t>).</w:t>
      </w:r>
    </w:p>
  </w:footnote>
  <w:footnote w:id="163">
    <w:p w14:paraId="004DF748" w14:textId="3C41BB19"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sidRPr="00B24BC3">
        <w:rPr>
          <w:rFonts w:cs="Times New Roman PS"/>
          <w:i/>
          <w:szCs w:val="18"/>
        </w:rPr>
        <w:t>See supra</w:t>
      </w:r>
      <w:r w:rsidRPr="00B24BC3">
        <w:rPr>
          <w:rFonts w:cs="Times New Roman PS"/>
          <w:szCs w:val="18"/>
        </w:rPr>
        <w:t xml:space="preserve"> </w:t>
      </w:r>
      <w:r>
        <w:rPr>
          <w:rFonts w:cs="Times New Roman PS"/>
          <w:szCs w:val="18"/>
        </w:rPr>
        <w:t>Section</w:t>
      </w:r>
      <w:r w:rsidRPr="00B24BC3">
        <w:rPr>
          <w:rFonts w:cs="Times New Roman PS"/>
          <w:szCs w:val="18"/>
        </w:rPr>
        <w:t xml:space="preserve"> II.B.</w:t>
      </w:r>
    </w:p>
  </w:footnote>
  <w:footnote w:id="164">
    <w:p w14:paraId="4A1433D6" w14:textId="5FBA6A7F"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w:t>
      </w:r>
      <w:r w:rsidRPr="002672CC">
        <w:rPr>
          <w:rFonts w:cs="Times New Roman PS"/>
          <w:smallCaps/>
        </w:rPr>
        <w:t>FW Cook</w:t>
      </w:r>
      <w:r w:rsidRPr="00E847CF">
        <w:rPr>
          <w:rFonts w:cs="Times New Roman PS"/>
        </w:rPr>
        <w:t xml:space="preserve">, </w:t>
      </w:r>
      <w:r w:rsidRPr="006D20A9">
        <w:rPr>
          <w:i/>
        </w:rPr>
        <w:t>supra</w:t>
      </w:r>
      <w:r w:rsidRPr="00E847CF">
        <w:rPr>
          <w:rFonts w:cs="Times New Roman PS"/>
        </w:rPr>
        <w:t xml:space="preserve"> note </w:t>
      </w:r>
      <w:r>
        <w:rPr>
          <w:rFonts w:cs="Times New Roman PS"/>
        </w:rPr>
        <w:fldChar w:fldCharType="begin"/>
      </w:r>
      <w:r>
        <w:rPr>
          <w:rFonts w:cs="Times New Roman PS"/>
        </w:rPr>
        <w:instrText xml:space="preserve"> NOTEREF _Ref18937349 \h </w:instrText>
      </w:r>
      <w:r>
        <w:rPr>
          <w:rFonts w:cs="Times New Roman PS"/>
        </w:rPr>
      </w:r>
      <w:r>
        <w:rPr>
          <w:rFonts w:cs="Times New Roman PS"/>
        </w:rPr>
        <w:fldChar w:fldCharType="separate"/>
      </w:r>
      <w:r w:rsidR="005C51FD">
        <w:rPr>
          <w:rFonts w:cs="Times New Roman PS"/>
        </w:rPr>
        <w:t>61</w:t>
      </w:r>
      <w:r>
        <w:rPr>
          <w:rFonts w:cs="Times New Roman PS"/>
        </w:rPr>
        <w:fldChar w:fldCharType="end"/>
      </w:r>
      <w:r w:rsidRPr="00E847CF">
        <w:rPr>
          <w:rFonts w:cs="Times New Roman PS"/>
        </w:rPr>
        <w:t>, at 17 (</w:t>
      </w:r>
      <w:r>
        <w:rPr>
          <w:rFonts w:cs="Times New Roman PS"/>
        </w:rPr>
        <w:t xml:space="preserve">noting that </w:t>
      </w:r>
      <w:r w:rsidRPr="00E847CF">
        <w:rPr>
          <w:rFonts w:cs="Times New Roman PS"/>
        </w:rPr>
        <w:t>91% of surveyed companies reported</w:t>
      </w:r>
      <w:r>
        <w:rPr>
          <w:rFonts w:cs="Times New Roman PS"/>
        </w:rPr>
        <w:t xml:space="preserve"> </w:t>
      </w:r>
      <w:r w:rsidRPr="00E847CF">
        <w:rPr>
          <w:rFonts w:cs="Times New Roman PS"/>
        </w:rPr>
        <w:t>measurement period of three years).</w:t>
      </w:r>
    </w:p>
  </w:footnote>
  <w:footnote w:id="165">
    <w:p w14:paraId="46C83374" w14:textId="759444F3"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Compare, for example, two performance awards that are each expected to result in a CEO receiving </w:t>
      </w:r>
      <w:r>
        <w:rPr>
          <w:rFonts w:cs="Times New Roman PS"/>
        </w:rPr>
        <w:t>10,000</w:t>
      </w:r>
      <w:r w:rsidRPr="00E847CF">
        <w:rPr>
          <w:rFonts w:cs="Times New Roman PS"/>
        </w:rPr>
        <w:t xml:space="preserve"> shares of stock after three years.</w:t>
      </w:r>
      <w:r>
        <w:rPr>
          <w:rFonts w:cs="Times New Roman PS"/>
        </w:rPr>
        <w:t xml:space="preserve"> </w:t>
      </w:r>
      <w:r w:rsidRPr="00E847CF">
        <w:rPr>
          <w:rFonts w:cs="Times New Roman PS"/>
        </w:rPr>
        <w:t>One is based exclusively on firm-specific performance</w:t>
      </w:r>
      <w:r>
        <w:rPr>
          <w:rFonts w:cs="Times New Roman PS"/>
        </w:rPr>
        <w:t>—</w:t>
      </w:r>
      <w:r w:rsidRPr="00E847CF">
        <w:rPr>
          <w:rFonts w:cs="Times New Roman PS"/>
        </w:rPr>
        <w:t>no RPE</w:t>
      </w:r>
      <w:r>
        <w:rPr>
          <w:rFonts w:cs="Times New Roman PS"/>
        </w:rPr>
        <w:t>—</w:t>
      </w:r>
      <w:r w:rsidRPr="00E847CF">
        <w:rPr>
          <w:rFonts w:cs="Times New Roman PS"/>
        </w:rPr>
        <w:t>while the other includes only a single strong RPE-based metric.</w:t>
      </w:r>
      <w:r>
        <w:rPr>
          <w:rFonts w:cs="Times New Roman PS"/>
        </w:rPr>
        <w:t xml:space="preserve"> </w:t>
      </w:r>
      <w:r w:rsidRPr="00E847CF">
        <w:rPr>
          <w:rFonts w:cs="Times New Roman PS"/>
        </w:rPr>
        <w:t xml:space="preserve">Since the executive is expected to receive </w:t>
      </w:r>
      <w:r>
        <w:rPr>
          <w:rFonts w:cs="Times New Roman PS"/>
        </w:rPr>
        <w:t>10,000</w:t>
      </w:r>
      <w:r w:rsidRPr="00E847CF">
        <w:rPr>
          <w:rFonts w:cs="Times New Roman PS"/>
        </w:rPr>
        <w:t xml:space="preserve"> shares with either award, the WPS created by the two awards is the same, while the RPE characteristics are obviously quite different.</w:t>
      </w:r>
    </w:p>
  </w:footnote>
  <w:footnote w:id="166">
    <w:p w14:paraId="096AC0F6" w14:textId="1A550541" w:rsidR="00051004" w:rsidRPr="00B24BC3" w:rsidRDefault="00051004" w:rsidP="00B24BC3">
      <w:pPr>
        <w:pStyle w:val="FootNote"/>
      </w:pPr>
      <w:r>
        <w:rPr>
          <w:rFonts w:cs="Times New Roman PS"/>
          <w:i/>
          <w:szCs w:val="18"/>
        </w:rPr>
        <w:fldChar w:fldCharType="begin"/>
      </w:r>
      <w:r>
        <w:rPr>
          <w:rFonts w:cs="Times New Roman PS"/>
          <w:i/>
          <w:szCs w:val="18"/>
        </w:rPr>
        <w:instrText xml:space="preserve"> ADVANCE \r10 \* MERGEFORMAT </w:instrText>
      </w:r>
      <w:r>
        <w:rPr>
          <w:rFonts w:cs="Times New Roman PS"/>
          <w:i/>
          <w:szCs w:val="18"/>
        </w:rPr>
        <w:fldChar w:fldCharType="end"/>
      </w:r>
      <w:r w:rsidRPr="00F155BE">
        <w:rPr>
          <w:rStyle w:val="NoterefInNote"/>
        </w:rPr>
        <w:footnoteRef/>
      </w:r>
      <w:r>
        <w:rPr>
          <w:rFonts w:cs="Times New Roman PS"/>
          <w:i/>
          <w:szCs w:val="18"/>
        </w:rPr>
        <w:fldChar w:fldCharType="begin"/>
      </w:r>
      <w:r>
        <w:rPr>
          <w:rFonts w:cs="Times New Roman PS"/>
          <w:i/>
          <w:szCs w:val="18"/>
        </w:rPr>
        <w:instrText xml:space="preserve"> ADVANCE \r4 \* MERGEFORMAT </w:instrText>
      </w:r>
      <w:r>
        <w:rPr>
          <w:rFonts w:cs="Times New Roman PS"/>
          <w:i/>
          <w:szCs w:val="18"/>
        </w:rPr>
        <w:fldChar w:fldCharType="end"/>
      </w:r>
      <w:r w:rsidRPr="00B24BC3">
        <w:rPr>
          <w:rFonts w:cs="Times New Roman PS"/>
          <w:i/>
          <w:szCs w:val="18"/>
        </w:rPr>
        <w:t xml:space="preserve">See supra </w:t>
      </w:r>
      <w:r w:rsidRPr="00B24BC3">
        <w:rPr>
          <w:rFonts w:cs="Times New Roman PS"/>
          <w:szCs w:val="18"/>
        </w:rPr>
        <w:t xml:space="preserve">notes </w:t>
      </w:r>
      <w:r w:rsidRPr="00B24BC3">
        <w:rPr>
          <w:rFonts w:cs="Times New Roman PS"/>
          <w:szCs w:val="18"/>
        </w:rPr>
        <w:fldChar w:fldCharType="begin"/>
      </w:r>
      <w:r w:rsidRPr="00B24BC3">
        <w:rPr>
          <w:rFonts w:cs="Times New Roman PS"/>
          <w:szCs w:val="18"/>
        </w:rPr>
        <w:instrText xml:space="preserve"> NOTEREF _Ref19874485 \h </w:instrText>
      </w:r>
      <w:r w:rsidRPr="00B24BC3">
        <w:rPr>
          <w:rFonts w:cs="Times New Roman PS"/>
          <w:szCs w:val="18"/>
        </w:rPr>
      </w:r>
      <w:r w:rsidRPr="00B24BC3">
        <w:rPr>
          <w:rFonts w:cs="Times New Roman PS"/>
          <w:szCs w:val="18"/>
        </w:rPr>
        <w:fldChar w:fldCharType="separate"/>
      </w:r>
      <w:r w:rsidR="005C51FD">
        <w:rPr>
          <w:rFonts w:cs="Times New Roman PS"/>
          <w:szCs w:val="18"/>
        </w:rPr>
        <w:t>49</w:t>
      </w:r>
      <w:r w:rsidRPr="00B24BC3">
        <w:rPr>
          <w:rFonts w:cs="Times New Roman PS"/>
          <w:szCs w:val="18"/>
        </w:rPr>
        <w:fldChar w:fldCharType="end"/>
      </w:r>
      <w:r w:rsidRPr="00B24BC3">
        <w:rPr>
          <w:rFonts w:cs="Times New Roman PS"/>
          <w:szCs w:val="18"/>
        </w:rPr>
        <w:t xml:space="preserve"> and </w:t>
      </w:r>
      <w:r w:rsidRPr="00B24BC3">
        <w:rPr>
          <w:rFonts w:cs="Times New Roman PS"/>
          <w:szCs w:val="18"/>
        </w:rPr>
        <w:fldChar w:fldCharType="begin"/>
      </w:r>
      <w:r w:rsidRPr="00B24BC3">
        <w:rPr>
          <w:rFonts w:cs="Times New Roman PS"/>
          <w:szCs w:val="18"/>
        </w:rPr>
        <w:instrText xml:space="preserve"> NOTEREF _Ref21982280 \h </w:instrText>
      </w:r>
      <w:r w:rsidRPr="00B24BC3">
        <w:rPr>
          <w:rFonts w:cs="Times New Roman PS"/>
          <w:szCs w:val="18"/>
        </w:rPr>
      </w:r>
      <w:r w:rsidRPr="00B24BC3">
        <w:rPr>
          <w:rFonts w:cs="Times New Roman PS"/>
          <w:szCs w:val="18"/>
        </w:rPr>
        <w:fldChar w:fldCharType="separate"/>
      </w:r>
      <w:r w:rsidR="005C51FD">
        <w:rPr>
          <w:rFonts w:cs="Times New Roman PS"/>
          <w:szCs w:val="18"/>
        </w:rPr>
        <w:t>51</w:t>
      </w:r>
      <w:r w:rsidRPr="00B24BC3">
        <w:rPr>
          <w:rFonts w:cs="Times New Roman PS"/>
          <w:szCs w:val="18"/>
        </w:rPr>
        <w:fldChar w:fldCharType="end"/>
      </w:r>
      <w:r w:rsidRPr="00B24BC3">
        <w:rPr>
          <w:rFonts w:cs="Times New Roman PS"/>
          <w:szCs w:val="18"/>
        </w:rPr>
        <w:t>.</w:t>
      </w:r>
    </w:p>
  </w:footnote>
  <w:footnote w:id="167">
    <w:p w14:paraId="4B72C7E6" w14:textId="780CA8D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Performance</w:t>
      </w:r>
      <w:r>
        <w:rPr>
          <w:rFonts w:cs="Times New Roman PS"/>
        </w:rPr>
        <w:t xml:space="preserve"> </w:t>
      </w:r>
      <w:r w:rsidRPr="00E847CF">
        <w:rPr>
          <w:rFonts w:cs="Times New Roman PS"/>
        </w:rPr>
        <w:t>share plans with variable payouts linked to multiple performance targets result in an economic relationship between share price and payout that is very similar to that of an option.</w:t>
      </w:r>
      <w:r>
        <w:rPr>
          <w:rFonts w:cs="Times New Roman PS"/>
        </w:rPr>
        <w:t xml:space="preserve"> </w:t>
      </w:r>
      <w:r w:rsidRPr="00E847CF">
        <w:rPr>
          <w:rFonts w:cs="Times New Roman PS"/>
          <w:i/>
        </w:rPr>
        <w:t>See</w:t>
      </w:r>
      <w:r w:rsidRPr="00E847CF">
        <w:rPr>
          <w:rFonts w:cs="Times New Roman PS"/>
        </w:rPr>
        <w:t xml:space="preserve"> 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_Ref21080132 \h </w:instrText>
      </w:r>
      <w:r>
        <w:rPr>
          <w:rFonts w:cs="Times New Roman PS"/>
        </w:rPr>
      </w:r>
      <w:r>
        <w:rPr>
          <w:rFonts w:cs="Times New Roman PS"/>
        </w:rPr>
        <w:fldChar w:fldCharType="separate"/>
      </w:r>
      <w:r w:rsidR="005C51FD">
        <w:rPr>
          <w:rFonts w:cs="Times New Roman PS"/>
        </w:rPr>
        <w:t>43</w:t>
      </w:r>
      <w:r>
        <w:rPr>
          <w:rFonts w:cs="Times New Roman PS"/>
        </w:rPr>
        <w:fldChar w:fldCharType="end"/>
      </w:r>
      <w:r w:rsidRPr="00E847CF">
        <w:rPr>
          <w:rFonts w:cs="Times New Roman PS"/>
        </w:rPr>
        <w:t>, at 413.</w:t>
      </w:r>
      <w:r>
        <w:rPr>
          <w:rFonts w:cs="Times New Roman PS"/>
        </w:rPr>
        <w:t xml:space="preserve"> </w:t>
      </w:r>
      <w:r w:rsidRPr="00E847CF">
        <w:rPr>
          <w:rFonts w:cs="Times New Roman PS"/>
        </w:rPr>
        <w:t>AEGS</w:t>
      </w:r>
      <w:r>
        <w:rPr>
          <w:rFonts w:cs="Times New Roman PS"/>
        </w:rPr>
        <w:t>’</w:t>
      </w:r>
      <w:r w:rsidRPr="00E847CF">
        <w:rPr>
          <w:rFonts w:cs="Times New Roman PS"/>
        </w:rPr>
        <w:t xml:space="preserve">s description of their methods is not sufficient to allow me to determine whether they take this </w:t>
      </w:r>
      <w:r>
        <w:rPr>
          <w:rFonts w:cs="Times New Roman PS"/>
        </w:rPr>
        <w:t>“</w:t>
      </w:r>
      <w:r w:rsidRPr="00E847CF">
        <w:rPr>
          <w:rFonts w:cs="Times New Roman PS"/>
        </w:rPr>
        <w:t>optionality</w:t>
      </w:r>
      <w:r>
        <w:rPr>
          <w:rFonts w:cs="Times New Roman PS"/>
        </w:rPr>
        <w:t>”</w:t>
      </w:r>
      <w:r w:rsidRPr="00E847CF">
        <w:rPr>
          <w:rFonts w:cs="Times New Roman PS"/>
        </w:rPr>
        <w:t xml:space="preserve"> into account in measuring WPS.</w:t>
      </w:r>
    </w:p>
  </w:footnote>
  <w:footnote w:id="168">
    <w:p w14:paraId="0D6BAD08" w14:textId="2D88B95C" w:rsidR="00051004" w:rsidRPr="00E847CF" w:rsidRDefault="00051004" w:rsidP="00E847CF">
      <w:pPr>
        <w:pStyle w:val="FootNote"/>
        <w:rPr>
          <w:rFonts w:cs="Times New Roman PS"/>
        </w:rPr>
      </w:pPr>
      <w:r>
        <w:rPr>
          <w:rFonts w:cs="Times New Roman PS"/>
          <w:szCs w:val="18"/>
        </w:rPr>
        <w:fldChar w:fldCharType="begin"/>
      </w:r>
      <w:r>
        <w:rPr>
          <w:rFonts w:cs="Times New Roman PS"/>
          <w:szCs w:val="18"/>
        </w:rPr>
        <w:instrText xml:space="preserve"> ADVANCE \r10 \* MERGEFORMAT </w:instrText>
      </w:r>
      <w:r>
        <w:rPr>
          <w:rFonts w:cs="Times New Roman PS"/>
          <w:szCs w:val="18"/>
        </w:rPr>
        <w:fldChar w:fldCharType="end"/>
      </w:r>
      <w:r w:rsidRPr="00F155BE">
        <w:rPr>
          <w:rStyle w:val="NoterefInNote"/>
        </w:rPr>
        <w:footnoteRef/>
      </w:r>
      <w:r>
        <w:rPr>
          <w:rFonts w:cs="Times New Roman PS"/>
          <w:szCs w:val="18"/>
        </w:rPr>
        <w:fldChar w:fldCharType="begin"/>
      </w:r>
      <w:r>
        <w:rPr>
          <w:rFonts w:cs="Times New Roman PS"/>
          <w:szCs w:val="18"/>
        </w:rPr>
        <w:instrText xml:space="preserve"> ADVANCE \r4 \* MERGEFORMAT </w:instrText>
      </w:r>
      <w:r>
        <w:rPr>
          <w:rFonts w:cs="Times New Roman PS"/>
          <w:szCs w:val="18"/>
        </w:rPr>
        <w:fldChar w:fldCharType="end"/>
      </w:r>
      <w:r>
        <w:rPr>
          <w:rFonts w:cs="Times New Roman PS"/>
          <w:i/>
          <w:szCs w:val="18"/>
        </w:rPr>
        <w:t xml:space="preserve">See </w:t>
      </w:r>
      <w:r w:rsidRPr="00B6050A">
        <w:rPr>
          <w:rFonts w:cs="Times New Roman PS"/>
          <w:szCs w:val="18"/>
        </w:rPr>
        <w:t xml:space="preserve">Nitzan Shilon, </w:t>
      </w:r>
      <w:r w:rsidRPr="00B6050A">
        <w:rPr>
          <w:rFonts w:cs="Times New Roman PS"/>
          <w:i/>
          <w:szCs w:val="18"/>
        </w:rPr>
        <w:t>CEO Stock Ownership Policies—Rhetoric and Reality</w:t>
      </w:r>
      <w:r w:rsidRPr="00B6050A">
        <w:rPr>
          <w:rFonts w:cs="Times New Roman PS"/>
          <w:szCs w:val="18"/>
        </w:rPr>
        <w:t xml:space="preserve">, 90 </w:t>
      </w:r>
      <w:r w:rsidRPr="00B6050A">
        <w:rPr>
          <w:rFonts w:cs="Times New Roman PS"/>
          <w:smallCaps/>
          <w:szCs w:val="18"/>
        </w:rPr>
        <w:t>Ind. L.J</w:t>
      </w:r>
      <w:r>
        <w:rPr>
          <w:rFonts w:cs="Times New Roman PS"/>
          <w:szCs w:val="18"/>
        </w:rPr>
        <w:t>. 353, 35</w:t>
      </w:r>
      <w:r w:rsidRPr="00B6050A">
        <w:rPr>
          <w:rFonts w:cs="Times New Roman PS"/>
          <w:szCs w:val="18"/>
        </w:rPr>
        <w:t>7 (2015)</w:t>
      </w:r>
      <w:r w:rsidRPr="00E847CF">
        <w:rPr>
          <w:rFonts w:cs="Times New Roman PS"/>
        </w:rPr>
        <w:t xml:space="preserve"> (discussing these limitations and finding that such policies are </w:t>
      </w:r>
      <w:r>
        <w:rPr>
          <w:rFonts w:cs="Times New Roman PS"/>
        </w:rPr>
        <w:t>“</w:t>
      </w:r>
      <w:r w:rsidRPr="00E847CF">
        <w:rPr>
          <w:rFonts w:cs="Times New Roman PS"/>
        </w:rPr>
        <w:t>extremely ineffectual</w:t>
      </w:r>
      <w:r>
        <w:rPr>
          <w:rFonts w:cs="Times New Roman PS"/>
        </w:rPr>
        <w:t>”</w:t>
      </w:r>
      <w:r w:rsidRPr="00E847CF">
        <w:rPr>
          <w:rFonts w:cs="Times New Roman PS"/>
        </w:rPr>
        <w:t>).</w:t>
      </w:r>
    </w:p>
  </w:footnote>
  <w:footnote w:id="169">
    <w:p w14:paraId="76D9C3A6" w14:textId="4FDD4163"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Cf</w:t>
      </w:r>
      <w:r>
        <w:rPr>
          <w:rFonts w:cs="Times New Roman PS"/>
          <w:i/>
        </w:rPr>
        <w:t>.</w:t>
      </w:r>
      <w:r w:rsidRPr="00E847CF">
        <w:rPr>
          <w:rFonts w:cs="Times New Roman PS"/>
        </w:rPr>
        <w:t xml:space="preserve"> 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_Ref19691814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25-28 (finding evidence consistent with either or both phenomena).</w:t>
      </w:r>
    </w:p>
  </w:footnote>
  <w:footnote w:id="170">
    <w:p w14:paraId="1B33BCE8" w14:textId="450B318F"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Pr>
          <w:rFonts w:cs="Times New Roman PS"/>
          <w:i/>
        </w:rPr>
        <w:t xml:space="preserve"> </w:t>
      </w:r>
      <w:r>
        <w:rPr>
          <w:rFonts w:cs="Times New Roman PS"/>
        </w:rPr>
        <w:t xml:space="preserve">Hemphill &amp; Kahan, </w:t>
      </w:r>
      <w:r>
        <w:rPr>
          <w:rFonts w:cs="Times New Roman PS"/>
          <w:i/>
        </w:rPr>
        <w:t xml:space="preserve">supra </w:t>
      </w:r>
      <w:r>
        <w:rPr>
          <w:rFonts w:cs="Times New Roman PS"/>
        </w:rPr>
        <w:t xml:space="preserve">note </w:t>
      </w:r>
      <w:r>
        <w:rPr>
          <w:rFonts w:cs="Times New Roman PS"/>
        </w:rPr>
        <w:fldChar w:fldCharType="begin"/>
      </w:r>
      <w:r>
        <w:rPr>
          <w:rFonts w:cs="Times New Roman PS"/>
        </w:rPr>
        <w:instrText xml:space="preserve"> NOTEREF _Ref19265597 \h </w:instrText>
      </w:r>
      <w:r>
        <w:rPr>
          <w:rFonts w:cs="Times New Roman PS"/>
        </w:rPr>
      </w:r>
      <w:r>
        <w:rPr>
          <w:rFonts w:cs="Times New Roman PS"/>
        </w:rPr>
        <w:fldChar w:fldCharType="separate"/>
      </w:r>
      <w:r w:rsidR="005C51FD">
        <w:rPr>
          <w:rFonts w:cs="Times New Roman PS"/>
        </w:rPr>
        <w:t>28</w:t>
      </w:r>
      <w:r>
        <w:rPr>
          <w:rFonts w:cs="Times New Roman PS"/>
        </w:rPr>
        <w:fldChar w:fldCharType="end"/>
      </w:r>
      <w:r>
        <w:rPr>
          <w:rFonts w:cs="Times New Roman PS"/>
        </w:rPr>
        <w:t xml:space="preserve"> (manuscript at 40);</w:t>
      </w:r>
      <w:r w:rsidRPr="00E847CF">
        <w:rPr>
          <w:rFonts w:cs="Times New Roman PS"/>
        </w:rPr>
        <w:t xml:space="preserve"> </w:t>
      </w:r>
      <w:r>
        <w:rPr>
          <w:rFonts w:cs="Times New Roman PS"/>
          <w:i/>
        </w:rPr>
        <w:t xml:space="preserve">supra </w:t>
      </w:r>
      <w:r w:rsidRPr="00E847CF">
        <w:rPr>
          <w:rFonts w:cs="Times New Roman PS"/>
        </w:rPr>
        <w:t xml:space="preserve">note </w:t>
      </w:r>
      <w:r>
        <w:rPr>
          <w:rFonts w:cs="Times New Roman PS"/>
        </w:rPr>
        <w:fldChar w:fldCharType="begin"/>
      </w:r>
      <w:r>
        <w:rPr>
          <w:rFonts w:cs="Times New Roman PS"/>
        </w:rPr>
        <w:instrText xml:space="preserve"> NOTEREF _Ref19692590 \h </w:instrText>
      </w:r>
      <w:r>
        <w:rPr>
          <w:rFonts w:cs="Times New Roman PS"/>
        </w:rPr>
      </w:r>
      <w:r>
        <w:rPr>
          <w:rFonts w:cs="Times New Roman PS"/>
        </w:rPr>
        <w:fldChar w:fldCharType="separate"/>
      </w:r>
      <w:r w:rsidR="005C51FD">
        <w:rPr>
          <w:rFonts w:cs="Times New Roman PS"/>
        </w:rPr>
        <w:t>33</w:t>
      </w:r>
      <w:r>
        <w:rPr>
          <w:rFonts w:cs="Times New Roman PS"/>
        </w:rPr>
        <w:fldChar w:fldCharType="end"/>
      </w:r>
      <w:r>
        <w:rPr>
          <w:rFonts w:cs="Times New Roman PS"/>
        </w:rPr>
        <w:t xml:space="preserve"> and accompanying text.</w:t>
      </w:r>
    </w:p>
  </w:footnote>
  <w:footnote w:id="171">
    <w:p w14:paraId="2AE2BEAA" w14:textId="1541D981"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Such a move might also have been irrelevant as executive share</w:t>
      </w:r>
      <w:r>
        <w:rPr>
          <w:rFonts w:cs="Times New Roman PS"/>
        </w:rPr>
        <w:t xml:space="preserve"> </w:t>
      </w:r>
      <w:r w:rsidRPr="00E847CF">
        <w:rPr>
          <w:rFonts w:cs="Times New Roman PS"/>
        </w:rPr>
        <w:t>ownership guidelines generally are not binding.</w:t>
      </w:r>
      <w:r>
        <w:rPr>
          <w:rFonts w:cs="Times New Roman PS"/>
        </w:rPr>
        <w:t xml:space="preserve"> </w:t>
      </w:r>
      <w:r w:rsidRPr="00E847CF">
        <w:rPr>
          <w:rFonts w:cs="Times New Roman PS"/>
          <w:i/>
        </w:rPr>
        <w:t>See</w:t>
      </w:r>
      <w:r w:rsidRPr="00E847CF">
        <w:rPr>
          <w:rFonts w:cs="Times New Roman PS"/>
        </w:rPr>
        <w:t xml:space="preserve"> Shilon, </w:t>
      </w:r>
      <w:r w:rsidRPr="00E847CF">
        <w:rPr>
          <w:rFonts w:cs="Times New Roman PS"/>
          <w:i/>
        </w:rPr>
        <w:t>supra</w:t>
      </w:r>
      <w:r w:rsidRPr="00E847CF">
        <w:rPr>
          <w:rFonts w:cs="Times New Roman PS"/>
        </w:rPr>
        <w:t xml:space="preserve"> note</w:t>
      </w:r>
      <w:r>
        <w:rPr>
          <w:rFonts w:cs="Times New Roman PS"/>
        </w:rPr>
        <w:t xml:space="preserve"> </w:t>
      </w:r>
      <w:r>
        <w:rPr>
          <w:rFonts w:cs="Times New Roman PS"/>
        </w:rPr>
        <w:fldChar w:fldCharType="begin"/>
      </w:r>
      <w:r>
        <w:rPr>
          <w:rFonts w:cs="Times New Roman PS"/>
        </w:rPr>
        <w:instrText xml:space="preserve"> NOTEREF _Ref19692898 \h </w:instrText>
      </w:r>
      <w:r>
        <w:rPr>
          <w:rFonts w:cs="Times New Roman PS"/>
        </w:rPr>
      </w:r>
      <w:r>
        <w:rPr>
          <w:rFonts w:cs="Times New Roman PS"/>
        </w:rPr>
        <w:fldChar w:fldCharType="separate"/>
      </w:r>
      <w:r w:rsidR="005C51FD">
        <w:rPr>
          <w:rFonts w:cs="Times New Roman PS"/>
        </w:rPr>
        <w:t>166</w:t>
      </w:r>
      <w:r>
        <w:rPr>
          <w:rFonts w:cs="Times New Roman PS"/>
        </w:rPr>
        <w:fldChar w:fldCharType="end"/>
      </w:r>
      <w:r>
        <w:rPr>
          <w:rFonts w:cs="Times New Roman PS"/>
        </w:rPr>
        <w:t>, at 357</w:t>
      </w:r>
      <w:r w:rsidRPr="00E847CF">
        <w:rPr>
          <w:rFonts w:cs="Times New Roman PS"/>
        </w:rPr>
        <w:t>.</w:t>
      </w:r>
    </w:p>
  </w:footnote>
  <w:footnote w:id="172">
    <w:p w14:paraId="57B943F1" w14:textId="6FDA35F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_Ref19691814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4</w:t>
      </w:r>
      <w:r>
        <w:rPr>
          <w:rFonts w:cs="Times New Roman PS"/>
        </w:rPr>
        <w:t xml:space="preserve"> (“The simplest mechanism is that the absence of a large active blockholder (with a strong interest in the target firm and without interests in competitors) is associated with reduced efforts to design high-powered managerial incentives. In other words, common owners need not actively design flat incentives; they may merely fail to design steep ones the way a non-common owner would.”)</w:t>
      </w:r>
      <w:r w:rsidRPr="00E847CF">
        <w:rPr>
          <w:rFonts w:cs="Times New Roman PS"/>
        </w:rPr>
        <w:t>.</w:t>
      </w:r>
    </w:p>
  </w:footnote>
  <w:footnote w:id="173">
    <w:p w14:paraId="797059A0" w14:textId="6DCFAEF6"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A second, perhaps less significant, concern with AEGS</w:t>
      </w:r>
      <w:r>
        <w:rPr>
          <w:rFonts w:cs="Times New Roman PS"/>
        </w:rPr>
        <w:t>’</w:t>
      </w:r>
      <w:r w:rsidRPr="00E847CF">
        <w:rPr>
          <w:rFonts w:cs="Times New Roman PS"/>
        </w:rPr>
        <w:t>s revised WPS-based approach is limited to their difference-in-differences analysis.</w:t>
      </w:r>
      <w:r>
        <w:rPr>
          <w:rFonts w:cs="Times New Roman PS"/>
        </w:rPr>
        <w:t xml:space="preserve"> </w:t>
      </w:r>
      <w:r w:rsidRPr="00E847CF">
        <w:rPr>
          <w:rFonts w:cs="Times New Roman PS"/>
        </w:rPr>
        <w:t>There appears to be an at least equally plausible explanation for AEGS</w:t>
      </w:r>
      <w:r>
        <w:rPr>
          <w:rFonts w:cs="Times New Roman PS"/>
        </w:rPr>
        <w:t>’</w:t>
      </w:r>
      <w:r w:rsidRPr="00E847CF">
        <w:rPr>
          <w:rFonts w:cs="Times New Roman PS"/>
        </w:rPr>
        <w:t>s finding of a relative reduction in WPS in more heavily commonly owned industries following BlackRock</w:t>
      </w:r>
      <w:r>
        <w:rPr>
          <w:rFonts w:cs="Times New Roman PS"/>
        </w:rPr>
        <w:t>’</w:t>
      </w:r>
      <w:r w:rsidRPr="00E847CF">
        <w:rPr>
          <w:rFonts w:cs="Times New Roman PS"/>
        </w:rPr>
        <w:t>s acquisition of BGI that does not necessarily support their hypothesis.</w:t>
      </w:r>
      <w:r>
        <w:rPr>
          <w:rFonts w:cs="Times New Roman PS"/>
        </w:rPr>
        <w:t xml:space="preserve"> </w:t>
      </w:r>
      <w:r w:rsidRPr="00E847CF">
        <w:rPr>
          <w:rFonts w:cs="Times New Roman PS"/>
        </w:rPr>
        <w:t>Suppose that, relative to BGI, BlackRock more aggressively pursued reductions in or limitations on executive pay.</w:t>
      </w:r>
      <w:r>
        <w:rPr>
          <w:rFonts w:cs="Times New Roman PS"/>
        </w:rPr>
        <w:t xml:space="preserve"> </w:t>
      </w:r>
      <w:r w:rsidRPr="00E847CF">
        <w:rPr>
          <w:rFonts w:cs="Times New Roman PS"/>
        </w:rPr>
        <w:t xml:space="preserve">In fact, the most plausible mechanism for a </w:t>
      </w:r>
      <w:r>
        <w:rPr>
          <w:rFonts w:cs="Times New Roman PS"/>
        </w:rPr>
        <w:t xml:space="preserve">post-merger </w:t>
      </w:r>
      <w:r w:rsidRPr="00E847CF">
        <w:rPr>
          <w:rFonts w:cs="Times New Roman PS"/>
        </w:rPr>
        <w:t>reduction in WPS would be reduction in current year equity pay.</w:t>
      </w:r>
      <w:r>
        <w:rPr>
          <w:rFonts w:cs="Times New Roman PS"/>
        </w:rPr>
        <w:t xml:space="preserve"> </w:t>
      </w:r>
      <w:r w:rsidRPr="00E847CF">
        <w:rPr>
          <w:rFonts w:cs="Times New Roman PS"/>
        </w:rPr>
        <w:t>Given the stickiness of salary and annual bonuses, it is likely that reductions in equity pay would not have been made up elsewhere.</w:t>
      </w:r>
      <w:r>
        <w:rPr>
          <w:rFonts w:cs="Times New Roman PS"/>
        </w:rPr>
        <w:t xml:space="preserve"> </w:t>
      </w:r>
      <w:r w:rsidRPr="00E847CF">
        <w:rPr>
          <w:rFonts w:cs="Times New Roman PS"/>
        </w:rPr>
        <w:t>If BlackRock pushed harder on equity pay at companies in which it had a larger ownership position post</w:t>
      </w:r>
      <w:r>
        <w:rPr>
          <w:rFonts w:cs="Times New Roman PS"/>
        </w:rPr>
        <w:t>-</w:t>
      </w:r>
      <w:r w:rsidRPr="00E847CF">
        <w:rPr>
          <w:rFonts w:cs="Times New Roman PS"/>
        </w:rPr>
        <w:t>merger, reductions in current equity pay would translate into reduced WPS in each of AEGS</w:t>
      </w:r>
      <w:r>
        <w:rPr>
          <w:rFonts w:cs="Times New Roman PS"/>
        </w:rPr>
        <w:t>’</w:t>
      </w:r>
      <w:r w:rsidRPr="00E847CF">
        <w:rPr>
          <w:rFonts w:cs="Times New Roman PS"/>
        </w:rPr>
        <w:t>s three WPS specifications, assuming that other elements of pay were unaffected.</w:t>
      </w:r>
      <w:r>
        <w:rPr>
          <w:rFonts w:cs="Times New Roman PS"/>
        </w:rPr>
        <w:t xml:space="preserve"> </w:t>
      </w:r>
      <w:r w:rsidRPr="00E847CF">
        <w:rPr>
          <w:rFonts w:cs="Times New Roman PS"/>
        </w:rPr>
        <w:t>To be sure, one might also be surprised to learn that BlackRock aggressively monitors executive pay</w:t>
      </w:r>
      <w:r>
        <w:rPr>
          <w:rFonts w:cs="Times New Roman PS"/>
        </w:rPr>
        <w:t>,</w:t>
      </w:r>
      <w:r w:rsidRPr="00E847CF">
        <w:rPr>
          <w:rFonts w:cs="Times New Roman PS"/>
        </w:rPr>
        <w:t xml:space="preserve"> </w:t>
      </w:r>
      <w:r>
        <w:rPr>
          <w:rFonts w:cs="Times New Roman PS"/>
          <w:i/>
        </w:rPr>
        <w:t>see, e.g.</w:t>
      </w:r>
      <w:r>
        <w:rPr>
          <w:rFonts w:cs="Times New Roman PS"/>
        </w:rPr>
        <w:t>,</w:t>
      </w:r>
      <w:r w:rsidRPr="00E847CF">
        <w:rPr>
          <w:rFonts w:cs="Times New Roman PS"/>
        </w:rPr>
        <w:t xml:space="preserve"> Bebchuk &amp; Hirst,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_Ref19694255 \h </w:instrText>
      </w:r>
      <w:r>
        <w:rPr>
          <w:rFonts w:cs="Times New Roman PS"/>
        </w:rPr>
      </w:r>
      <w:r>
        <w:rPr>
          <w:rFonts w:cs="Times New Roman PS"/>
        </w:rPr>
        <w:fldChar w:fldCharType="separate"/>
      </w:r>
      <w:r w:rsidR="005C51FD">
        <w:rPr>
          <w:rFonts w:cs="Times New Roman PS"/>
        </w:rPr>
        <w:t>14</w:t>
      </w:r>
      <w:r>
        <w:rPr>
          <w:rFonts w:cs="Times New Roman PS"/>
        </w:rPr>
        <w:fldChar w:fldCharType="end"/>
      </w:r>
      <w:r w:rsidRPr="00E847CF">
        <w:rPr>
          <w:rFonts w:cs="Times New Roman PS"/>
        </w:rPr>
        <w:t xml:space="preserve"> </w:t>
      </w:r>
      <w:r>
        <w:rPr>
          <w:rFonts w:cs="Times New Roman PS"/>
        </w:rPr>
        <w:t xml:space="preserve">(manuscript </w:t>
      </w:r>
      <w:r w:rsidRPr="00E847CF">
        <w:rPr>
          <w:rFonts w:cs="Times New Roman PS"/>
        </w:rPr>
        <w:t>at 47-48</w:t>
      </w:r>
      <w:r>
        <w:rPr>
          <w:rFonts w:cs="Times New Roman PS"/>
        </w:rPr>
        <w:t>)</w:t>
      </w:r>
      <w:r w:rsidRPr="00E847CF">
        <w:rPr>
          <w:rFonts w:cs="Times New Roman PS"/>
        </w:rPr>
        <w:t xml:space="preserve"> (providing evidence that index fund managers tend to be deferential to management), but this idea seems at least as plausible as the idea that they monitor WPS in order to discourage interfirm competition.</w:t>
      </w:r>
      <w:r>
        <w:rPr>
          <w:rFonts w:cs="Times New Roman PS"/>
        </w:rPr>
        <w:t xml:space="preserve"> </w:t>
      </w:r>
      <w:r w:rsidRPr="00E847CF">
        <w:rPr>
          <w:rFonts w:cs="Times New Roman PS"/>
        </w:rPr>
        <w:t>And, of course, if the post-BlackRock/BGI merger evidence is about pay levels and not incentives, this evidence would not necessarily support the thesis that executive incentives are a mechanism linking common ownership with reduced competition.</w:t>
      </w:r>
    </w:p>
  </w:footnote>
  <w:footnote w:id="174">
    <w:p w14:paraId="662B5099" w14:textId="404BBD18"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_Ref19691814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 at 22 (citing Alex Edmans</w:t>
      </w:r>
      <w:r>
        <w:rPr>
          <w:rFonts w:cs="Times New Roman PS"/>
        </w:rPr>
        <w:t>, Xavier Gabaix &amp; Augustin Landier</w:t>
      </w:r>
      <w:r w:rsidRPr="00E847CF">
        <w:rPr>
          <w:rFonts w:cs="Times New Roman PS"/>
        </w:rPr>
        <w:t xml:space="preserve">, </w:t>
      </w:r>
      <w:r w:rsidRPr="00E847CF">
        <w:rPr>
          <w:rFonts w:cs="Times New Roman PS"/>
          <w:i/>
        </w:rPr>
        <w:t>A Multiplicative Model of Optimal CEO Incentives in Market Equilibrium</w:t>
      </w:r>
      <w:r w:rsidRPr="00E847CF">
        <w:rPr>
          <w:rFonts w:cs="Times New Roman PS"/>
        </w:rPr>
        <w:t xml:space="preserve">, 22 </w:t>
      </w:r>
      <w:r w:rsidRPr="00E847CF">
        <w:rPr>
          <w:rFonts w:cs="Times New Roman PS"/>
          <w:smallCaps/>
        </w:rPr>
        <w:t>Rev. Fin. Stud</w:t>
      </w:r>
      <w:r>
        <w:rPr>
          <w:rFonts w:cs="Times New Roman PS"/>
          <w:smallCaps/>
        </w:rPr>
        <w:t>.</w:t>
      </w:r>
      <w:r w:rsidRPr="00E847CF">
        <w:rPr>
          <w:rFonts w:cs="Times New Roman PS"/>
        </w:rPr>
        <w:t xml:space="preserve"> 4881</w:t>
      </w:r>
      <w:r>
        <w:rPr>
          <w:rFonts w:cs="Times New Roman PS"/>
        </w:rPr>
        <w:t>, 4881-917</w:t>
      </w:r>
      <w:r w:rsidRPr="00E847CF">
        <w:rPr>
          <w:rFonts w:cs="Times New Roman PS"/>
        </w:rPr>
        <w:t xml:space="preserve"> (</w:t>
      </w:r>
      <w:r>
        <w:rPr>
          <w:rFonts w:cs="Times New Roman PS"/>
        </w:rPr>
        <w:t>1990</w:t>
      </w:r>
      <w:r w:rsidRPr="00E847CF">
        <w:rPr>
          <w:rFonts w:cs="Times New Roman PS"/>
        </w:rPr>
        <w:t>)</w:t>
      </w:r>
      <w:r>
        <w:rPr>
          <w:rFonts w:cs="Times New Roman PS"/>
        </w:rPr>
        <w:t>)</w:t>
      </w:r>
      <w:r w:rsidRPr="00E847CF">
        <w:rPr>
          <w:rFonts w:cs="Times New Roman PS"/>
        </w:rPr>
        <w:t>.</w:t>
      </w:r>
    </w:p>
  </w:footnote>
  <w:footnote w:id="175">
    <w:p w14:paraId="26BFF8FE" w14:textId="4A3EAC2A"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Edmans</w:t>
      </w:r>
      <w:r>
        <w:rPr>
          <w:rFonts w:cs="Times New Roman PS"/>
        </w:rPr>
        <w:t>, Gabaix &amp; Landier</w:t>
      </w:r>
      <w:r w:rsidRPr="000F3E53">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_Ref19694419 \h </w:instrText>
      </w:r>
      <w:r>
        <w:rPr>
          <w:rFonts w:cs="Times New Roman PS"/>
        </w:rPr>
      </w:r>
      <w:r>
        <w:rPr>
          <w:rFonts w:cs="Times New Roman PS"/>
        </w:rPr>
        <w:fldChar w:fldCharType="separate"/>
      </w:r>
      <w:r w:rsidR="005C51FD">
        <w:rPr>
          <w:rFonts w:cs="Times New Roman PS"/>
        </w:rPr>
        <w:t>172</w:t>
      </w:r>
      <w:r>
        <w:rPr>
          <w:rFonts w:cs="Times New Roman PS"/>
        </w:rPr>
        <w:fldChar w:fldCharType="end"/>
      </w:r>
      <w:r w:rsidRPr="00E847CF">
        <w:rPr>
          <w:rFonts w:cs="Times New Roman PS"/>
        </w:rPr>
        <w:t xml:space="preserve">, at 4898 </w:t>
      </w:r>
      <w:r>
        <w:rPr>
          <w:rFonts w:cs="Times New Roman PS"/>
        </w:rPr>
        <w:t>a</w:t>
      </w:r>
      <w:r w:rsidRPr="00E847CF">
        <w:rPr>
          <w:rFonts w:cs="Times New Roman PS"/>
        </w:rPr>
        <w:t xml:space="preserve">pp. B (citing John Core &amp; Wayne Guay, </w:t>
      </w:r>
      <w:r w:rsidRPr="00E847CF">
        <w:rPr>
          <w:rFonts w:cs="Times New Roman PS"/>
          <w:i/>
        </w:rPr>
        <w:t xml:space="preserve">Estimating the Value of Employee Stock Option Portfolios and </w:t>
      </w:r>
      <w:r>
        <w:rPr>
          <w:rFonts w:cs="Times New Roman PS"/>
          <w:i/>
        </w:rPr>
        <w:t>T</w:t>
      </w:r>
      <w:r w:rsidRPr="00E847CF">
        <w:rPr>
          <w:rFonts w:cs="Times New Roman PS"/>
          <w:i/>
        </w:rPr>
        <w:t>heir Sensitivities to Price and Volatility</w:t>
      </w:r>
      <w:r w:rsidRPr="00E847CF">
        <w:rPr>
          <w:rFonts w:cs="Times New Roman PS"/>
        </w:rPr>
        <w:t>, 40 J</w:t>
      </w:r>
      <w:r w:rsidRPr="00E847CF">
        <w:rPr>
          <w:rFonts w:cs="Times New Roman PS"/>
          <w:smallCaps/>
        </w:rPr>
        <w:t>. Acct. Res</w:t>
      </w:r>
      <w:r w:rsidRPr="00E847CF">
        <w:rPr>
          <w:rFonts w:cs="Times New Roman PS"/>
        </w:rPr>
        <w:t>. 613</w:t>
      </w:r>
      <w:r>
        <w:rPr>
          <w:rFonts w:cs="Times New Roman PS"/>
        </w:rPr>
        <w:t>, 613-630</w:t>
      </w:r>
      <w:r w:rsidRPr="00E847CF">
        <w:rPr>
          <w:rFonts w:cs="Times New Roman PS"/>
        </w:rPr>
        <w:t xml:space="preserve"> (2002)).</w:t>
      </w:r>
    </w:p>
  </w:footnote>
  <w:footnote w:id="176">
    <w:p w14:paraId="2DBFE1F8" w14:textId="2C66713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Pr>
          <w:rFonts w:cs="Times New Roman PS"/>
          <w:i/>
        </w:rPr>
        <w:t xml:space="preserve">See </w:t>
      </w:r>
      <w:r w:rsidRPr="00E847CF">
        <w:rPr>
          <w:rFonts w:cs="Times New Roman PS"/>
        </w:rPr>
        <w:t xml:space="preserve">Walker,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_Ref19694964 \h </w:instrText>
      </w:r>
      <w:r>
        <w:rPr>
          <w:rFonts w:cs="Times New Roman PS"/>
        </w:rPr>
      </w:r>
      <w:r>
        <w:rPr>
          <w:rFonts w:cs="Times New Roman PS"/>
        </w:rPr>
        <w:fldChar w:fldCharType="separate"/>
      </w:r>
      <w:r w:rsidR="005C51FD">
        <w:rPr>
          <w:rFonts w:cs="Times New Roman PS"/>
        </w:rPr>
        <w:t>48</w:t>
      </w:r>
      <w:r>
        <w:rPr>
          <w:rFonts w:cs="Times New Roman PS"/>
        </w:rPr>
        <w:fldChar w:fldCharType="end"/>
      </w:r>
      <w:r w:rsidRPr="00E847CF">
        <w:rPr>
          <w:rFonts w:cs="Times New Roman PS"/>
        </w:rPr>
        <w:t>, at 237.</w:t>
      </w:r>
    </w:p>
  </w:footnote>
  <w:footnote w:id="177">
    <w:p w14:paraId="354CBBB0" w14:textId="7EAF8325"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7D7642">
        <w:rPr>
          <w:rFonts w:cs="Times New Roman PS"/>
          <w:i/>
        </w:rPr>
        <w:t>.</w:t>
      </w:r>
      <w:r>
        <w:rPr>
          <w:rFonts w:cs="Times New Roman PS"/>
        </w:rPr>
        <w:t xml:space="preserve"> at 237-38.</w:t>
      </w:r>
    </w:p>
  </w:footnote>
  <w:footnote w:id="178">
    <w:p w14:paraId="5BC92B8C" w14:textId="0D75739E"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Edmans</w:t>
      </w:r>
      <w:r>
        <w:rPr>
          <w:rFonts w:cs="Times New Roman PS"/>
        </w:rPr>
        <w:t>, Gabaix &amp; Landier</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_Ref19694419 \h </w:instrText>
      </w:r>
      <w:r>
        <w:rPr>
          <w:rFonts w:cs="Times New Roman PS"/>
        </w:rPr>
      </w:r>
      <w:r>
        <w:rPr>
          <w:rFonts w:cs="Times New Roman PS"/>
        </w:rPr>
        <w:fldChar w:fldCharType="separate"/>
      </w:r>
      <w:r w:rsidR="005C51FD">
        <w:rPr>
          <w:rFonts w:cs="Times New Roman PS"/>
        </w:rPr>
        <w:t>172</w:t>
      </w:r>
      <w:r>
        <w:rPr>
          <w:rFonts w:cs="Times New Roman PS"/>
        </w:rPr>
        <w:fldChar w:fldCharType="end"/>
      </w:r>
      <w:r w:rsidRPr="00E847CF">
        <w:rPr>
          <w:rFonts w:cs="Times New Roman PS"/>
        </w:rPr>
        <w:t>, at 4898.</w:t>
      </w:r>
    </w:p>
  </w:footnote>
  <w:footnote w:id="179">
    <w:p w14:paraId="4F98872E" w14:textId="254DB410"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Edmans, Gabaix, and Landier analyzed data for the 1992-2006 period</w:t>
      </w:r>
      <w:r>
        <w:rPr>
          <w:rFonts w:cs="Times New Roman PS"/>
        </w:rPr>
        <w:t xml:space="preserve">. </w:t>
      </w:r>
      <w:r w:rsidRPr="00E847CF">
        <w:rPr>
          <w:rFonts w:cs="Times New Roman PS"/>
          <w:i/>
        </w:rPr>
        <w:t>Id</w:t>
      </w:r>
      <w:r>
        <w:rPr>
          <w:rFonts w:cs="Times New Roman PS"/>
          <w:i/>
        </w:rPr>
        <w:t>.</w:t>
      </w:r>
      <w:r w:rsidRPr="00E847CF">
        <w:rPr>
          <w:rFonts w:cs="Times New Roman PS"/>
        </w:rPr>
        <w:t xml:space="preserve"> at 4899.</w:t>
      </w:r>
    </w:p>
  </w:footnote>
  <w:footnote w:id="180">
    <w:p w14:paraId="2986CA13" w14:textId="726A468B"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Core and Guay</w:t>
      </w:r>
      <w:r>
        <w:rPr>
          <w:rFonts w:cs="Times New Roman PS"/>
        </w:rPr>
        <w:t>’</w:t>
      </w:r>
      <w:r w:rsidRPr="00E847CF">
        <w:rPr>
          <w:rFonts w:cs="Times New Roman PS"/>
        </w:rPr>
        <w:t>s 2002 article only addresses the determination of value and incentive properties of options.</w:t>
      </w:r>
      <w:r>
        <w:rPr>
          <w:rFonts w:cs="Times New Roman PS"/>
        </w:rPr>
        <w:t xml:space="preserve"> </w:t>
      </w:r>
      <w:r>
        <w:rPr>
          <w:rFonts w:cs="Times New Roman PS"/>
          <w:i/>
        </w:rPr>
        <w:t xml:space="preserve">See </w:t>
      </w:r>
      <w:r w:rsidRPr="00E847CF">
        <w:rPr>
          <w:rFonts w:cs="Times New Roman PS"/>
        </w:rPr>
        <w:t xml:space="preserve">Core &amp; Guay,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_Ref19695049 \h </w:instrText>
      </w:r>
      <w:r>
        <w:rPr>
          <w:rFonts w:cs="Times New Roman PS"/>
        </w:rPr>
      </w:r>
      <w:r>
        <w:rPr>
          <w:rFonts w:cs="Times New Roman PS"/>
        </w:rPr>
        <w:fldChar w:fldCharType="separate"/>
      </w:r>
      <w:r w:rsidR="005C51FD">
        <w:rPr>
          <w:rFonts w:cs="Times New Roman PS"/>
        </w:rPr>
        <w:t>173</w:t>
      </w:r>
      <w:r>
        <w:rPr>
          <w:rFonts w:cs="Times New Roman PS"/>
        </w:rPr>
        <w:fldChar w:fldCharType="end"/>
      </w:r>
      <w:r>
        <w:rPr>
          <w:rFonts w:cs="Times New Roman PS"/>
        </w:rPr>
        <w:t>, at 613</w:t>
      </w:r>
      <w:r w:rsidRPr="00E847CF">
        <w:rPr>
          <w:rFonts w:cs="Times New Roman PS"/>
        </w:rPr>
        <w:t>.</w:t>
      </w:r>
    </w:p>
  </w:footnote>
  <w:footnote w:id="181">
    <w:p w14:paraId="330316FE" w14:textId="7FA42ECF"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Bettis et al</w:t>
      </w:r>
      <w:r>
        <w:rPr>
          <w:rFonts w:cs="Times New Roman PS"/>
        </w:rPr>
        <w:t>.</w:t>
      </w:r>
      <w:r w:rsidRPr="00E847CF">
        <w:rPr>
          <w:rFonts w:cs="Times New Roman PS"/>
        </w:rPr>
        <w:t xml:space="preserv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_Ref19695184 \h </w:instrText>
      </w:r>
      <w:r>
        <w:rPr>
          <w:rFonts w:cs="Times New Roman PS"/>
        </w:rPr>
      </w:r>
      <w:r>
        <w:rPr>
          <w:rFonts w:cs="Times New Roman PS"/>
        </w:rPr>
        <w:fldChar w:fldCharType="separate"/>
      </w:r>
      <w:r w:rsidR="005C51FD">
        <w:rPr>
          <w:rFonts w:cs="Times New Roman PS"/>
        </w:rPr>
        <w:t>60</w:t>
      </w:r>
      <w:r>
        <w:rPr>
          <w:rFonts w:cs="Times New Roman PS"/>
        </w:rPr>
        <w:fldChar w:fldCharType="end"/>
      </w:r>
      <w:r w:rsidRPr="00E847CF">
        <w:rPr>
          <w:rFonts w:cs="Times New Roman PS"/>
        </w:rPr>
        <w:t>, at 197</w:t>
      </w:r>
      <w:r>
        <w:rPr>
          <w:rFonts w:cs="Times New Roman PS"/>
        </w:rPr>
        <w:t>.</w:t>
      </w:r>
    </w:p>
  </w:footnote>
  <w:footnote w:id="182">
    <w:p w14:paraId="1895CAD1" w14:textId="2ACE2467"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7D7642">
        <w:rPr>
          <w:rFonts w:cs="Times New Roman PS"/>
          <w:i/>
        </w:rPr>
        <w:t>.</w:t>
      </w:r>
    </w:p>
  </w:footnote>
  <w:footnote w:id="183">
    <w:p w14:paraId="459284C6" w14:textId="1EBD79AF"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Id</w:t>
      </w:r>
      <w:r w:rsidRPr="007D7642">
        <w:rPr>
          <w:rFonts w:cs="Times New Roman PS"/>
          <w:i/>
        </w:rPr>
        <w:t>.</w:t>
      </w:r>
      <w:r w:rsidRPr="00E847CF">
        <w:rPr>
          <w:rFonts w:cs="Times New Roman PS"/>
        </w:rPr>
        <w:t xml:space="preserve"> at 200, 211.</w:t>
      </w:r>
    </w:p>
  </w:footnote>
  <w:footnote w:id="184">
    <w:p w14:paraId="20FC7965" w14:textId="1492FCEE"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Id.</w:t>
      </w:r>
      <w:r>
        <w:rPr>
          <w:rFonts w:cs="Times New Roman PS"/>
        </w:rPr>
        <w:t xml:space="preserve"> at 212</w:t>
      </w:r>
      <w:r w:rsidRPr="00E847CF">
        <w:rPr>
          <w:rFonts w:cs="Times New Roman PS"/>
        </w:rPr>
        <w:t>.</w:t>
      </w:r>
    </w:p>
  </w:footnote>
  <w:footnote w:id="185">
    <w:p w14:paraId="10C9ECE3" w14:textId="3FCAD1CA"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w:t>
      </w:r>
      <w:r w:rsidRPr="00E847CF">
        <w:rPr>
          <w:rFonts w:cs="Times New Roman PS"/>
        </w:rPr>
        <w:t xml:space="preserve"> Hemphill &amp; Kahan,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_Ref19695820 \h </w:instrText>
      </w:r>
      <w:r>
        <w:rPr>
          <w:rFonts w:cs="Times New Roman PS"/>
        </w:rPr>
      </w:r>
      <w:r>
        <w:rPr>
          <w:rFonts w:cs="Times New Roman PS"/>
        </w:rPr>
        <w:fldChar w:fldCharType="separate"/>
      </w:r>
      <w:r w:rsidR="005C51FD">
        <w:rPr>
          <w:rFonts w:cs="Times New Roman PS"/>
        </w:rPr>
        <w:t>28</w:t>
      </w:r>
      <w:r>
        <w:rPr>
          <w:rFonts w:cs="Times New Roman PS"/>
        </w:rPr>
        <w:fldChar w:fldCharType="end"/>
      </w:r>
      <w:r w:rsidRPr="00E847CF">
        <w:rPr>
          <w:rFonts w:cs="Times New Roman PS"/>
        </w:rPr>
        <w:t xml:space="preserve"> </w:t>
      </w:r>
      <w:r>
        <w:rPr>
          <w:rFonts w:cs="Times New Roman PS"/>
        </w:rPr>
        <w:t xml:space="preserve">(manuscript </w:t>
      </w:r>
      <w:r w:rsidRPr="00E847CF">
        <w:rPr>
          <w:rFonts w:cs="Times New Roman PS"/>
        </w:rPr>
        <w:t>at 2</w:t>
      </w:r>
      <w:r>
        <w:rPr>
          <w:rFonts w:cs="Times New Roman PS"/>
        </w:rPr>
        <w:t>1-2</w:t>
      </w:r>
      <w:r w:rsidRPr="00E847CF">
        <w:rPr>
          <w:rFonts w:cs="Times New Roman PS"/>
        </w:rPr>
        <w:t>2</w:t>
      </w:r>
      <w:r>
        <w:rPr>
          <w:rFonts w:cs="Times New Roman PS"/>
        </w:rPr>
        <w:t>)</w:t>
      </w:r>
      <w:r w:rsidRPr="00E847CF">
        <w:rPr>
          <w:rFonts w:cs="Times New Roman PS"/>
        </w:rPr>
        <w:t xml:space="preserve"> (reaching same conclusion).</w:t>
      </w:r>
    </w:p>
  </w:footnote>
  <w:footnote w:id="186">
    <w:p w14:paraId="2D918819" w14:textId="394BEBF5"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See s</w:t>
      </w:r>
      <w:r w:rsidRPr="00E847CF">
        <w:rPr>
          <w:rFonts w:cs="Times New Roman PS"/>
          <w:i/>
        </w:rPr>
        <w:t>upra</w:t>
      </w:r>
      <w:r w:rsidRPr="00E847CF">
        <w:rPr>
          <w:rFonts w:cs="Times New Roman PS"/>
        </w:rPr>
        <w:t xml:space="preserve"> Part II.</w:t>
      </w:r>
    </w:p>
  </w:footnote>
  <w:footnote w:id="187">
    <w:p w14:paraId="431EF36F" w14:textId="227751C9" w:rsidR="00051004" w:rsidRPr="00E847CF" w:rsidRDefault="00051004" w:rsidP="00E847CF">
      <w:pPr>
        <w:pStyle w:val="FootNote"/>
        <w:rPr>
          <w:rFonts w:cs="Times New Roman PS"/>
        </w:rPr>
      </w:pPr>
      <w:r>
        <w:rPr>
          <w:rFonts w:cs="Times New Roman PS"/>
        </w:rPr>
        <w:fldChar w:fldCharType="begin"/>
      </w:r>
      <w:r>
        <w:rPr>
          <w:rFonts w:cs="Times New Roman PS"/>
        </w:rPr>
        <w:instrText xml:space="preserve"> ADVANCE \r10 \* MERGEFORMAT </w:instrText>
      </w:r>
      <w:r>
        <w:rPr>
          <w:rFonts w:cs="Times New Roman PS"/>
        </w:rPr>
        <w:fldChar w:fldCharType="end"/>
      </w:r>
      <w:r w:rsidRPr="00F155BE">
        <w:rPr>
          <w:rStyle w:val="NoterefInNote"/>
        </w:rPr>
        <w:footnoteRef/>
      </w:r>
      <w:r>
        <w:rPr>
          <w:rFonts w:cs="Times New Roman PS"/>
        </w:rPr>
        <w:fldChar w:fldCharType="begin"/>
      </w:r>
      <w:r>
        <w:rPr>
          <w:rFonts w:cs="Times New Roman PS"/>
        </w:rPr>
        <w:instrText xml:space="preserve"> ADVANCE \r4 \* MERGEFORMAT </w:instrText>
      </w:r>
      <w:r>
        <w:rPr>
          <w:rFonts w:cs="Times New Roman PS"/>
        </w:rPr>
        <w:fldChar w:fldCharType="end"/>
      </w:r>
      <w:r w:rsidRPr="00E847CF">
        <w:rPr>
          <w:rFonts w:cs="Times New Roman PS"/>
        </w:rPr>
        <w:t xml:space="preserve">DeSimone,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_Ref19695796 \h </w:instrText>
      </w:r>
      <w:r>
        <w:rPr>
          <w:rFonts w:cs="Times New Roman PS"/>
        </w:rPr>
      </w:r>
      <w:r>
        <w:rPr>
          <w:rFonts w:cs="Times New Roman PS"/>
        </w:rPr>
        <w:fldChar w:fldCharType="separate"/>
      </w:r>
      <w:r w:rsidR="005C51FD">
        <w:rPr>
          <w:rFonts w:cs="Times New Roman PS"/>
        </w:rPr>
        <w:t>6</w:t>
      </w:r>
      <w:r>
        <w:rPr>
          <w:rFonts w:cs="Times New Roman PS"/>
        </w:rPr>
        <w:fldChar w:fldCharType="end"/>
      </w:r>
      <w:r w:rsidRPr="00E847CF">
        <w:rPr>
          <w:rFonts w:cs="Times New Roman PS"/>
        </w:rPr>
        <w:t>, at 20-23.</w:t>
      </w:r>
    </w:p>
  </w:footnote>
  <w:footnote w:id="188">
    <w:p w14:paraId="42432261" w14:textId="6D43FB0D" w:rsidR="00051004" w:rsidRDefault="00051004" w:rsidP="00131226">
      <w:pPr>
        <w:pStyle w:val="FootNote"/>
      </w:pPr>
      <w:r>
        <w:rPr>
          <w:rFonts w:cs="Times New Roman PS"/>
        </w:rPr>
        <w:fldChar w:fldCharType="begin"/>
      </w:r>
      <w:r>
        <w:rPr>
          <w:rFonts w:cs="Times New Roman PS"/>
        </w:rPr>
        <w:instrText xml:space="preserve"> ADVANCE \r10 \* MERGEFORMAT </w:instrText>
      </w:r>
      <w:r>
        <w:rPr>
          <w:rFonts w:cs="Times New Roman PS"/>
        </w:rPr>
        <w:fldChar w:fldCharType="end"/>
      </w:r>
      <w:r>
        <w:rPr>
          <w:rStyle w:val="FootnoteReferenc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i/>
        </w:rPr>
        <w:t xml:space="preserve">See </w:t>
      </w:r>
      <w:r w:rsidRPr="00E847CF">
        <w:rPr>
          <w:rFonts w:cs="Times New Roman PS"/>
        </w:rPr>
        <w:t xml:space="preserve">Schmalz,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_Ref19695808 \h </w:instrText>
      </w:r>
      <w:r>
        <w:rPr>
          <w:rFonts w:cs="Times New Roman PS"/>
        </w:rPr>
      </w:r>
      <w:r>
        <w:rPr>
          <w:rFonts w:cs="Times New Roman PS"/>
        </w:rPr>
        <w:fldChar w:fldCharType="separate"/>
      </w:r>
      <w:r w:rsidR="005C51FD">
        <w:rPr>
          <w:rFonts w:cs="Times New Roman PS"/>
        </w:rPr>
        <w:t>41</w:t>
      </w:r>
      <w:r>
        <w:rPr>
          <w:rFonts w:cs="Times New Roman PS"/>
        </w:rPr>
        <w:fldChar w:fldCharType="end"/>
      </w:r>
      <w:r>
        <w:rPr>
          <w:rFonts w:cs="Times New Roman PS"/>
        </w:rPr>
        <w:t>, at slide 63.</w:t>
      </w:r>
    </w:p>
  </w:footnote>
  <w:footnote w:id="189">
    <w:p w14:paraId="2F6C0DDA" w14:textId="66F17627"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sidRPr="00E847CF">
        <w:rPr>
          <w:rFonts w:cs="Times New Roman PS"/>
          <w:i/>
        </w:rPr>
        <w:t>See supra</w:t>
      </w:r>
      <w:r w:rsidRPr="00E847CF">
        <w:rPr>
          <w:rFonts w:cs="Times New Roman PS"/>
        </w:rPr>
        <w:t xml:space="preserve"> text </w:t>
      </w:r>
      <w:r>
        <w:rPr>
          <w:rFonts w:cs="Times New Roman PS"/>
        </w:rPr>
        <w:t>accompanying</w:t>
      </w:r>
      <w:r w:rsidRPr="00E847CF">
        <w:rPr>
          <w:rFonts w:cs="Times New Roman PS"/>
        </w:rPr>
        <w:t xml:space="preserve"> note </w:t>
      </w:r>
      <w:r>
        <w:rPr>
          <w:rFonts w:cs="Times New Roman PS"/>
        </w:rPr>
        <w:fldChar w:fldCharType="begin"/>
      </w:r>
      <w:r>
        <w:rPr>
          <w:rFonts w:cs="Times New Roman PS"/>
        </w:rPr>
        <w:instrText xml:space="preserve"> NOTEREF _Ref21087494 \h </w:instrText>
      </w:r>
      <w:r>
        <w:rPr>
          <w:rFonts w:cs="Times New Roman PS"/>
        </w:rPr>
      </w:r>
      <w:r>
        <w:rPr>
          <w:rFonts w:cs="Times New Roman PS"/>
        </w:rPr>
        <w:fldChar w:fldCharType="separate"/>
      </w:r>
      <w:r w:rsidR="005C51FD">
        <w:rPr>
          <w:rFonts w:cs="Times New Roman PS"/>
        </w:rPr>
        <w:t>32</w:t>
      </w:r>
      <w:r>
        <w:rPr>
          <w:rFonts w:cs="Times New Roman PS"/>
        </w:rPr>
        <w:fldChar w:fldCharType="end"/>
      </w:r>
      <w:r w:rsidRPr="00E847CF">
        <w:rPr>
          <w:rFonts w:cs="Times New Roman PS"/>
        </w:rPr>
        <w:t>.</w:t>
      </w:r>
    </w:p>
  </w:footnote>
  <w:footnote w:id="190">
    <w:p w14:paraId="5F5C3BB6" w14:textId="592E0BF1" w:rsidR="00051004" w:rsidRPr="00E847CF" w:rsidRDefault="00051004" w:rsidP="00E847CF">
      <w:pPr>
        <w:pStyle w:val="FootNote"/>
        <w:rPr>
          <w:rFonts w:cs="Times New Roman PS"/>
        </w:rPr>
      </w:pPr>
      <w:r>
        <w:rPr>
          <w:rFonts w:cs="Times New Roman PS"/>
          <w:i/>
        </w:rPr>
        <w:fldChar w:fldCharType="begin"/>
      </w:r>
      <w:r>
        <w:rPr>
          <w:rFonts w:cs="Times New Roman PS"/>
          <w:i/>
        </w:rPr>
        <w:instrText xml:space="preserve"> ADVANCE \r10 \* MERGEFORMAT </w:instrText>
      </w:r>
      <w:r>
        <w:rPr>
          <w:rFonts w:cs="Times New Roman PS"/>
          <w:i/>
        </w:rPr>
        <w:fldChar w:fldCharType="end"/>
      </w:r>
      <w:r w:rsidRPr="00F155BE">
        <w:rPr>
          <w:rStyle w:val="NoterefInNote"/>
        </w:rPr>
        <w:footnoteRef/>
      </w:r>
      <w:r>
        <w:rPr>
          <w:rFonts w:cs="Times New Roman PS"/>
          <w:i/>
        </w:rPr>
        <w:fldChar w:fldCharType="begin"/>
      </w:r>
      <w:r>
        <w:rPr>
          <w:rFonts w:cs="Times New Roman PS"/>
          <w:i/>
        </w:rPr>
        <w:instrText xml:space="preserve"> ADVANCE \r4 \* MERGEFORMAT </w:instrText>
      </w:r>
      <w:r>
        <w:rPr>
          <w:rFonts w:cs="Times New Roman PS"/>
          <w:i/>
        </w:rPr>
        <w:fldChar w:fldCharType="end"/>
      </w:r>
      <w:r>
        <w:rPr>
          <w:rFonts w:cs="Times New Roman PS"/>
          <w:i/>
        </w:rPr>
        <w:t xml:space="preserve">See generally </w:t>
      </w:r>
      <w:r w:rsidRPr="00E847CF">
        <w:rPr>
          <w:rFonts w:cs="Times New Roman PS"/>
        </w:rPr>
        <w:t xml:space="preserve">AEGS (2018), </w:t>
      </w:r>
      <w:r w:rsidRPr="00E847CF">
        <w:rPr>
          <w:rFonts w:cs="Times New Roman PS"/>
          <w:i/>
        </w:rPr>
        <w:t>supra</w:t>
      </w:r>
      <w:r w:rsidRPr="00E847CF">
        <w:rPr>
          <w:rFonts w:cs="Times New Roman PS"/>
        </w:rPr>
        <w:t xml:space="preserve"> note </w:t>
      </w:r>
      <w:r>
        <w:rPr>
          <w:rFonts w:cs="Times New Roman PS"/>
        </w:rPr>
        <w:fldChar w:fldCharType="begin"/>
      </w:r>
      <w:r>
        <w:rPr>
          <w:rFonts w:cs="Times New Roman PS"/>
        </w:rPr>
        <w:instrText xml:space="preserve"> NOTEREF _Ref19691814 \h </w:instrText>
      </w:r>
      <w:r>
        <w:rPr>
          <w:rFonts w:cs="Times New Roman PS"/>
        </w:rPr>
      </w:r>
      <w:r>
        <w:rPr>
          <w:rFonts w:cs="Times New Roman PS"/>
        </w:rPr>
        <w:fldChar w:fldCharType="separate"/>
      </w:r>
      <w:r w:rsidR="005C51FD">
        <w:rPr>
          <w:rFonts w:cs="Times New Roman PS"/>
        </w:rPr>
        <w:t>5</w:t>
      </w:r>
      <w:r>
        <w:rPr>
          <w:rFonts w:cs="Times New Roman PS"/>
        </w:rPr>
        <w:fldChar w:fldCharType="end"/>
      </w:r>
      <w:r w:rsidRPr="00E847CF">
        <w:rPr>
          <w:rFonts w:cs="Times New Roman P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943B" w14:textId="77777777" w:rsidR="00051004" w:rsidRDefault="00051004">
    <w:pPr>
      <w:pStyle w:val="Header"/>
      <w:pBdr>
        <w:top w:val="single" w:sz="6" w:space="1" w:color="auto"/>
        <w:bottom w:val="single" w:sz="6" w:space="1" w:color="auto"/>
      </w:pBdr>
      <w:tabs>
        <w:tab w:val="clear" w:pos="4320"/>
        <w:tab w:val="clear" w:pos="8640"/>
        <w:tab w:val="right" w:pos="6720"/>
      </w:tabs>
      <w:rPr>
        <w:smallCaps/>
        <w:sz w:val="14"/>
      </w:rPr>
    </w:pPr>
    <w:r>
      <w:rPr>
        <w:smallCaps/>
        <w:sz w:val="14"/>
      </w:rPr>
      <w:tab/>
    </w:r>
  </w:p>
  <w:p w14:paraId="31A6744D" w14:textId="40E9C81B" w:rsidR="00051004" w:rsidRPr="003C5FEA" w:rsidRDefault="00051004">
    <w:pPr>
      <w:pStyle w:val="Header"/>
      <w:tabs>
        <w:tab w:val="clear" w:pos="4320"/>
        <w:tab w:val="clear" w:pos="8640"/>
        <w:tab w:val="center" w:pos="3300"/>
        <w:tab w:val="right" w:pos="6720"/>
      </w:tabs>
      <w:spacing w:before="720" w:after="280" w:line="210" w:lineRule="exact"/>
      <w:jc w:val="both"/>
      <w:rPr>
        <w:sz w:val="21"/>
      </w:rPr>
    </w:pPr>
    <w:r w:rsidRPr="003C5FEA">
      <w:rPr>
        <w:rStyle w:val="PageNumber"/>
        <w:rFonts w:ascii="Times New Roman PS" w:hAnsi="Times New Roman PS"/>
        <w:sz w:val="21"/>
      </w:rPr>
      <w:fldChar w:fldCharType="begin"/>
    </w:r>
    <w:r w:rsidRPr="003C5FEA">
      <w:rPr>
        <w:rStyle w:val="PageNumber"/>
        <w:rFonts w:ascii="Times New Roman PS" w:hAnsi="Times New Roman PS"/>
        <w:sz w:val="21"/>
      </w:rPr>
      <w:instrText xml:space="preserve"> PAGE </w:instrText>
    </w:r>
    <w:r w:rsidRPr="003C5FEA">
      <w:rPr>
        <w:rStyle w:val="PageNumber"/>
        <w:rFonts w:ascii="Times New Roman PS" w:hAnsi="Times New Roman PS"/>
        <w:sz w:val="21"/>
      </w:rPr>
      <w:fldChar w:fldCharType="separate"/>
    </w:r>
    <w:r w:rsidR="00ED7BD9">
      <w:rPr>
        <w:rStyle w:val="PageNumber"/>
        <w:rFonts w:ascii="Times New Roman PS" w:hAnsi="Times New Roman PS"/>
        <w:noProof/>
        <w:sz w:val="21"/>
      </w:rPr>
      <w:t>2392</w:t>
    </w:r>
    <w:r w:rsidRPr="003C5FEA">
      <w:rPr>
        <w:rStyle w:val="PageNumber"/>
        <w:rFonts w:ascii="Times New Roman PS" w:hAnsi="Times New Roman PS"/>
        <w:sz w:val="21"/>
      </w:rPr>
      <w:fldChar w:fldCharType="end"/>
    </w:r>
    <w:r w:rsidRPr="003C5FEA">
      <w:rPr>
        <w:rStyle w:val="PageNumber"/>
        <w:rFonts w:ascii="Times New Roman PS" w:hAnsi="Times New Roman PS"/>
        <w:i/>
        <w:sz w:val="21"/>
      </w:rPr>
      <w:tab/>
      <w:t>BOSTON UNIVERSITY LAW REVIEW</w:t>
    </w:r>
    <w:r w:rsidRPr="003C5FEA">
      <w:rPr>
        <w:rStyle w:val="PageNumber"/>
        <w:rFonts w:ascii="Times New Roman PS" w:hAnsi="Times New Roman PS"/>
        <w:i/>
        <w:sz w:val="21"/>
      </w:rPr>
      <w:tab/>
    </w:r>
    <w:r w:rsidRPr="003C5FEA">
      <w:rPr>
        <w:rStyle w:val="PageNumber"/>
        <w:rFonts w:ascii="Times New Roman PS" w:hAnsi="Times New Roman PS"/>
        <w:sz w:val="21"/>
      </w:rPr>
      <w:t xml:space="preserve">[Vol. </w:t>
    </w:r>
    <w:r>
      <w:rPr>
        <w:rStyle w:val="PageNumber"/>
        <w:rFonts w:ascii="Times New Roman PS" w:hAnsi="Times New Roman PS"/>
        <w:sz w:val="21"/>
      </w:rPr>
      <w:t>99</w:t>
    </w:r>
    <w:r w:rsidRPr="003C5FEA">
      <w:rPr>
        <w:rStyle w:val="PageNumber"/>
        <w:rFonts w:ascii="Times New Roman PS" w:hAnsi="Times New Roman PS"/>
        <w:sz w:val="21"/>
      </w:rPr>
      <w:t>:</w:t>
    </w:r>
    <w:r>
      <w:rPr>
        <w:rStyle w:val="PageNumber"/>
        <w:rFonts w:ascii="Times New Roman PS" w:hAnsi="Times New Roman PS"/>
        <w:sz w:val="21"/>
      </w:rPr>
      <w:t>2373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EE41" w14:textId="77777777" w:rsidR="00051004" w:rsidRDefault="00051004" w:rsidP="00764A28">
    <w:pPr>
      <w:pStyle w:val="header0"/>
    </w:pPr>
    <w:r>
      <w:tab/>
    </w:r>
  </w:p>
  <w:p w14:paraId="1FDE2355" w14:textId="3A578CA9" w:rsidR="00051004" w:rsidRPr="003C5FEA" w:rsidRDefault="00051004">
    <w:pPr>
      <w:pStyle w:val="Header"/>
      <w:tabs>
        <w:tab w:val="clear" w:pos="4320"/>
        <w:tab w:val="clear" w:pos="8640"/>
        <w:tab w:val="center" w:pos="3300"/>
        <w:tab w:val="right" w:pos="6720"/>
      </w:tabs>
      <w:spacing w:before="720" w:after="280" w:line="210" w:lineRule="exact"/>
      <w:jc w:val="both"/>
      <w:rPr>
        <w:sz w:val="21"/>
      </w:rPr>
    </w:pPr>
    <w:r w:rsidRPr="003C5FEA">
      <w:rPr>
        <w:sz w:val="21"/>
      </w:rPr>
      <w:t>201</w:t>
    </w:r>
    <w:r>
      <w:rPr>
        <w:sz w:val="21"/>
      </w:rPr>
      <w:t>9</w:t>
    </w:r>
    <w:r w:rsidRPr="003C5FEA">
      <w:rPr>
        <w:sz w:val="21"/>
      </w:rPr>
      <w:t>]</w:t>
    </w:r>
    <w:r w:rsidRPr="003C5FEA">
      <w:rPr>
        <w:i/>
        <w:sz w:val="21"/>
      </w:rPr>
      <w:tab/>
    </w:r>
    <w:r>
      <w:rPr>
        <w:i/>
        <w:sz w:val="21"/>
      </w:rPr>
      <w:t>COMMON OWNERSHIP AND EXECUTIVE INCENTIVES</w:t>
    </w:r>
    <w:r w:rsidRPr="003C5FEA">
      <w:rPr>
        <w:i/>
        <w:sz w:val="21"/>
      </w:rPr>
      <w:tab/>
    </w:r>
    <w:r w:rsidRPr="003C5FEA">
      <w:rPr>
        <w:rStyle w:val="PageNumber"/>
        <w:rFonts w:ascii="Times New Roman PS" w:hAnsi="Times New Roman PS"/>
        <w:sz w:val="21"/>
      </w:rPr>
      <w:fldChar w:fldCharType="begin"/>
    </w:r>
    <w:r w:rsidRPr="003C5FEA">
      <w:rPr>
        <w:rStyle w:val="PageNumber"/>
        <w:rFonts w:ascii="Times New Roman PS" w:hAnsi="Times New Roman PS"/>
        <w:sz w:val="21"/>
      </w:rPr>
      <w:instrText xml:space="preserve"> PAGE </w:instrText>
    </w:r>
    <w:r w:rsidRPr="003C5FEA">
      <w:rPr>
        <w:rStyle w:val="PageNumber"/>
        <w:rFonts w:ascii="Times New Roman PS" w:hAnsi="Times New Roman PS"/>
        <w:sz w:val="21"/>
      </w:rPr>
      <w:fldChar w:fldCharType="separate"/>
    </w:r>
    <w:r w:rsidR="00ED7BD9">
      <w:rPr>
        <w:rStyle w:val="PageNumber"/>
        <w:rFonts w:ascii="Times New Roman PS" w:hAnsi="Times New Roman PS"/>
        <w:noProof/>
        <w:sz w:val="21"/>
      </w:rPr>
      <w:t>2393</w:t>
    </w:r>
    <w:r w:rsidRPr="003C5FEA">
      <w:rPr>
        <w:rStyle w:val="PageNumber"/>
        <w:rFonts w:ascii="Times New Roman PS" w:hAnsi="Times New Roman PS"/>
        <w:sz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0895" w14:textId="77777777" w:rsidR="00051004" w:rsidRDefault="00051004">
    <w:pPr>
      <w:pStyle w:val="Header"/>
      <w:pBdr>
        <w:top w:val="single" w:sz="6" w:space="1" w:color="auto"/>
      </w:pBdr>
      <w:tabs>
        <w:tab w:val="clear" w:pos="4320"/>
        <w:tab w:val="clear" w:pos="8640"/>
        <w:tab w:val="right" w:pos="6720"/>
      </w:tabs>
      <w:spacing w:before="720" w:after="760" w:line="210" w:lineRule="exact"/>
      <w:jc w:val="both"/>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141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64D7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68FE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08B8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FAE8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862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4CB4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C29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C69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2B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94B93"/>
    <w:multiLevelType w:val="hybridMultilevel"/>
    <w:tmpl w:val="2CEA5FA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29E60D8F"/>
    <w:multiLevelType w:val="hybridMultilevel"/>
    <w:tmpl w:val="DC52F302"/>
    <w:lvl w:ilvl="0" w:tplc="EBDACD76">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3B9A413C"/>
    <w:multiLevelType w:val="hybridMultilevel"/>
    <w:tmpl w:val="A2868890"/>
    <w:lvl w:ilvl="0" w:tplc="0F0A59EE">
      <w:start w:val="1"/>
      <w:numFmt w:val="bullet"/>
      <w:pStyle w:val="BulletListTX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15:restartNumberingAfterBreak="0">
    <w:nsid w:val="3D6E7395"/>
    <w:multiLevelType w:val="hybridMultilevel"/>
    <w:tmpl w:val="8890A476"/>
    <w:lvl w:ilvl="0" w:tplc="F8C896FA">
      <w:start w:val="1"/>
      <w:numFmt w:val="decimal"/>
      <w:lvlText w:val="(%1)"/>
      <w:lvlJc w:val="left"/>
      <w:pPr>
        <w:ind w:left="580" w:hanging="360"/>
      </w:pPr>
      <w:rPr>
        <w:rFonts w:cs="Times New Roman P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3D9B1157"/>
    <w:multiLevelType w:val="hybridMultilevel"/>
    <w:tmpl w:val="B7B89318"/>
    <w:lvl w:ilvl="0" w:tplc="72EE9B76">
      <w:start w:val="1"/>
      <w:numFmt w:val="lowerLetter"/>
      <w:lvlText w:val="%1."/>
      <w:lvlJc w:val="left"/>
      <w:pPr>
        <w:ind w:left="800" w:hanging="360"/>
      </w:pPr>
      <w:rPr>
        <w:rFonts w:hint="default"/>
        <w:i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510321CF"/>
    <w:multiLevelType w:val="hybridMultilevel"/>
    <w:tmpl w:val="726880E0"/>
    <w:lvl w:ilvl="0" w:tplc="7A5A5288">
      <w:start w:val="1"/>
      <w:numFmt w:val="bullet"/>
      <w:pStyle w:val="BulletListFN"/>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4AC2363"/>
    <w:multiLevelType w:val="singleLevel"/>
    <w:tmpl w:val="9724B7A4"/>
    <w:lvl w:ilvl="0">
      <w:start w:val="1"/>
      <w:numFmt w:val="lowerLetter"/>
      <w:lvlText w:val="%1."/>
      <w:lvlJc w:val="left"/>
      <w:pPr>
        <w:tabs>
          <w:tab w:val="num" w:pos="860"/>
        </w:tabs>
        <w:ind w:left="860" w:hanging="420"/>
      </w:pPr>
      <w:rPr>
        <w:rFonts w:hint="default"/>
      </w:rPr>
    </w:lvl>
  </w:abstractNum>
  <w:abstractNum w:abstractNumId="17" w15:restartNumberingAfterBreak="0">
    <w:nsid w:val="5FF2174C"/>
    <w:multiLevelType w:val="hybridMultilevel"/>
    <w:tmpl w:val="DA3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7"/>
  </w:num>
  <w:num w:numId="15">
    <w:abstractNumId w:val="11"/>
  </w:num>
  <w:num w:numId="16">
    <w:abstractNumId w:val="1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F"/>
    <w:rsid w:val="00002164"/>
    <w:rsid w:val="00003AD9"/>
    <w:rsid w:val="00006070"/>
    <w:rsid w:val="000066FB"/>
    <w:rsid w:val="0000786B"/>
    <w:rsid w:val="00011F7B"/>
    <w:rsid w:val="000131CB"/>
    <w:rsid w:val="0001352B"/>
    <w:rsid w:val="000144F6"/>
    <w:rsid w:val="00014AAB"/>
    <w:rsid w:val="00015E5D"/>
    <w:rsid w:val="00016873"/>
    <w:rsid w:val="000170F9"/>
    <w:rsid w:val="00017AB7"/>
    <w:rsid w:val="000216AF"/>
    <w:rsid w:val="00021A13"/>
    <w:rsid w:val="00025698"/>
    <w:rsid w:val="000257D9"/>
    <w:rsid w:val="00025FBA"/>
    <w:rsid w:val="000265E0"/>
    <w:rsid w:val="000304B2"/>
    <w:rsid w:val="00032A22"/>
    <w:rsid w:val="00034EFE"/>
    <w:rsid w:val="0003672A"/>
    <w:rsid w:val="000369D3"/>
    <w:rsid w:val="00037F20"/>
    <w:rsid w:val="0004743B"/>
    <w:rsid w:val="000506E7"/>
    <w:rsid w:val="00051004"/>
    <w:rsid w:val="000511F9"/>
    <w:rsid w:val="00051AF8"/>
    <w:rsid w:val="0005243E"/>
    <w:rsid w:val="00052EC6"/>
    <w:rsid w:val="00053064"/>
    <w:rsid w:val="00053076"/>
    <w:rsid w:val="00054778"/>
    <w:rsid w:val="00055DC8"/>
    <w:rsid w:val="00056936"/>
    <w:rsid w:val="00060449"/>
    <w:rsid w:val="00062B1F"/>
    <w:rsid w:val="00064B53"/>
    <w:rsid w:val="00065E23"/>
    <w:rsid w:val="00070A83"/>
    <w:rsid w:val="00070B73"/>
    <w:rsid w:val="00071187"/>
    <w:rsid w:val="00071EC5"/>
    <w:rsid w:val="00073A63"/>
    <w:rsid w:val="00074244"/>
    <w:rsid w:val="000748FB"/>
    <w:rsid w:val="000759F0"/>
    <w:rsid w:val="000806F9"/>
    <w:rsid w:val="00083B54"/>
    <w:rsid w:val="00083DC9"/>
    <w:rsid w:val="00084CB4"/>
    <w:rsid w:val="00084D27"/>
    <w:rsid w:val="00090B4A"/>
    <w:rsid w:val="00096310"/>
    <w:rsid w:val="0009646F"/>
    <w:rsid w:val="000A0B71"/>
    <w:rsid w:val="000A13EF"/>
    <w:rsid w:val="000A1F3B"/>
    <w:rsid w:val="000A52E0"/>
    <w:rsid w:val="000A62FF"/>
    <w:rsid w:val="000B0A8A"/>
    <w:rsid w:val="000B1750"/>
    <w:rsid w:val="000B1805"/>
    <w:rsid w:val="000B1A3B"/>
    <w:rsid w:val="000B22E0"/>
    <w:rsid w:val="000B314D"/>
    <w:rsid w:val="000B4A33"/>
    <w:rsid w:val="000B6534"/>
    <w:rsid w:val="000B6A86"/>
    <w:rsid w:val="000B7F5F"/>
    <w:rsid w:val="000B7FC4"/>
    <w:rsid w:val="000C132E"/>
    <w:rsid w:val="000C2E6D"/>
    <w:rsid w:val="000C586B"/>
    <w:rsid w:val="000C586F"/>
    <w:rsid w:val="000C5921"/>
    <w:rsid w:val="000C59DD"/>
    <w:rsid w:val="000C6D43"/>
    <w:rsid w:val="000D48B8"/>
    <w:rsid w:val="000D4D0A"/>
    <w:rsid w:val="000D65E3"/>
    <w:rsid w:val="000E2876"/>
    <w:rsid w:val="000E2A35"/>
    <w:rsid w:val="000E3127"/>
    <w:rsid w:val="000E5851"/>
    <w:rsid w:val="000E5DA3"/>
    <w:rsid w:val="000E5FA4"/>
    <w:rsid w:val="000F3678"/>
    <w:rsid w:val="000F3D89"/>
    <w:rsid w:val="000F3E53"/>
    <w:rsid w:val="000F41F9"/>
    <w:rsid w:val="000F52EB"/>
    <w:rsid w:val="000F5850"/>
    <w:rsid w:val="00100694"/>
    <w:rsid w:val="00102DAC"/>
    <w:rsid w:val="00106028"/>
    <w:rsid w:val="001103DB"/>
    <w:rsid w:val="001103EC"/>
    <w:rsid w:val="00115D13"/>
    <w:rsid w:val="001177E4"/>
    <w:rsid w:val="00120DDD"/>
    <w:rsid w:val="00121C22"/>
    <w:rsid w:val="001246CD"/>
    <w:rsid w:val="001309E4"/>
    <w:rsid w:val="001310CC"/>
    <w:rsid w:val="00131226"/>
    <w:rsid w:val="00135C49"/>
    <w:rsid w:val="00140042"/>
    <w:rsid w:val="00140933"/>
    <w:rsid w:val="00140AF0"/>
    <w:rsid w:val="00140CF6"/>
    <w:rsid w:val="00141FB1"/>
    <w:rsid w:val="001477D3"/>
    <w:rsid w:val="00151EC4"/>
    <w:rsid w:val="001526C7"/>
    <w:rsid w:val="00153703"/>
    <w:rsid w:val="00153833"/>
    <w:rsid w:val="00154973"/>
    <w:rsid w:val="00155A1E"/>
    <w:rsid w:val="001605D3"/>
    <w:rsid w:val="001608A6"/>
    <w:rsid w:val="0016129A"/>
    <w:rsid w:val="00161DD7"/>
    <w:rsid w:val="00162A41"/>
    <w:rsid w:val="00162E04"/>
    <w:rsid w:val="00163C49"/>
    <w:rsid w:val="00164275"/>
    <w:rsid w:val="001652A8"/>
    <w:rsid w:val="001679C6"/>
    <w:rsid w:val="00167AFD"/>
    <w:rsid w:val="001708FB"/>
    <w:rsid w:val="00172132"/>
    <w:rsid w:val="00172210"/>
    <w:rsid w:val="001746A6"/>
    <w:rsid w:val="0017494C"/>
    <w:rsid w:val="00175AA8"/>
    <w:rsid w:val="001763B7"/>
    <w:rsid w:val="00176AAB"/>
    <w:rsid w:val="00177485"/>
    <w:rsid w:val="00180E02"/>
    <w:rsid w:val="00184224"/>
    <w:rsid w:val="00184DC6"/>
    <w:rsid w:val="00184DD1"/>
    <w:rsid w:val="00187E3E"/>
    <w:rsid w:val="00190485"/>
    <w:rsid w:val="00190619"/>
    <w:rsid w:val="00194590"/>
    <w:rsid w:val="001952B9"/>
    <w:rsid w:val="0019622E"/>
    <w:rsid w:val="001967F5"/>
    <w:rsid w:val="00196A95"/>
    <w:rsid w:val="00196F53"/>
    <w:rsid w:val="00197F16"/>
    <w:rsid w:val="001A01AA"/>
    <w:rsid w:val="001A0952"/>
    <w:rsid w:val="001A1FBA"/>
    <w:rsid w:val="001A4D2B"/>
    <w:rsid w:val="001A632D"/>
    <w:rsid w:val="001A6410"/>
    <w:rsid w:val="001A730B"/>
    <w:rsid w:val="001B0AD4"/>
    <w:rsid w:val="001B251D"/>
    <w:rsid w:val="001B39BE"/>
    <w:rsid w:val="001B6A0A"/>
    <w:rsid w:val="001B7F1E"/>
    <w:rsid w:val="001C1CFE"/>
    <w:rsid w:val="001C2F8D"/>
    <w:rsid w:val="001C3E0E"/>
    <w:rsid w:val="001C3F39"/>
    <w:rsid w:val="001C597E"/>
    <w:rsid w:val="001C5A1A"/>
    <w:rsid w:val="001C6909"/>
    <w:rsid w:val="001C78E6"/>
    <w:rsid w:val="001C7C61"/>
    <w:rsid w:val="001D03B9"/>
    <w:rsid w:val="001D0DA9"/>
    <w:rsid w:val="001D12B9"/>
    <w:rsid w:val="001D12BE"/>
    <w:rsid w:val="001D29A1"/>
    <w:rsid w:val="001D3379"/>
    <w:rsid w:val="001D41D6"/>
    <w:rsid w:val="001E23DD"/>
    <w:rsid w:val="001E277B"/>
    <w:rsid w:val="001E4727"/>
    <w:rsid w:val="001E59FF"/>
    <w:rsid w:val="001E681C"/>
    <w:rsid w:val="001E6BA4"/>
    <w:rsid w:val="001E6BD8"/>
    <w:rsid w:val="001E6D16"/>
    <w:rsid w:val="001E6E5D"/>
    <w:rsid w:val="001E7170"/>
    <w:rsid w:val="001E74E8"/>
    <w:rsid w:val="001F070B"/>
    <w:rsid w:val="001F16F2"/>
    <w:rsid w:val="001F3F6A"/>
    <w:rsid w:val="001F3F9D"/>
    <w:rsid w:val="001F4265"/>
    <w:rsid w:val="001F4B7B"/>
    <w:rsid w:val="001F54EF"/>
    <w:rsid w:val="001F59FB"/>
    <w:rsid w:val="001F5A1C"/>
    <w:rsid w:val="001F6E46"/>
    <w:rsid w:val="001F74BE"/>
    <w:rsid w:val="00200FB9"/>
    <w:rsid w:val="0020300D"/>
    <w:rsid w:val="002074A8"/>
    <w:rsid w:val="00210806"/>
    <w:rsid w:val="0021207A"/>
    <w:rsid w:val="002125FB"/>
    <w:rsid w:val="002141E6"/>
    <w:rsid w:val="002142C4"/>
    <w:rsid w:val="00215399"/>
    <w:rsid w:val="00216A04"/>
    <w:rsid w:val="00217731"/>
    <w:rsid w:val="0022175B"/>
    <w:rsid w:val="00225A59"/>
    <w:rsid w:val="00227D75"/>
    <w:rsid w:val="00230DB4"/>
    <w:rsid w:val="00231092"/>
    <w:rsid w:val="002315E3"/>
    <w:rsid w:val="00231B66"/>
    <w:rsid w:val="002326C4"/>
    <w:rsid w:val="0023293F"/>
    <w:rsid w:val="0023394D"/>
    <w:rsid w:val="002352CC"/>
    <w:rsid w:val="002362F5"/>
    <w:rsid w:val="002370EB"/>
    <w:rsid w:val="002375BD"/>
    <w:rsid w:val="00237851"/>
    <w:rsid w:val="00242510"/>
    <w:rsid w:val="00242EB8"/>
    <w:rsid w:val="0024392B"/>
    <w:rsid w:val="0024479A"/>
    <w:rsid w:val="002454B6"/>
    <w:rsid w:val="0024626F"/>
    <w:rsid w:val="002468DF"/>
    <w:rsid w:val="00247347"/>
    <w:rsid w:val="002473ED"/>
    <w:rsid w:val="00247A8B"/>
    <w:rsid w:val="00254945"/>
    <w:rsid w:val="00255F0E"/>
    <w:rsid w:val="002561C5"/>
    <w:rsid w:val="00256348"/>
    <w:rsid w:val="002569B8"/>
    <w:rsid w:val="00257A86"/>
    <w:rsid w:val="00260A4E"/>
    <w:rsid w:val="00262A12"/>
    <w:rsid w:val="00263ADA"/>
    <w:rsid w:val="0026565A"/>
    <w:rsid w:val="00266E83"/>
    <w:rsid w:val="002672CC"/>
    <w:rsid w:val="002723F1"/>
    <w:rsid w:val="002748B4"/>
    <w:rsid w:val="00275268"/>
    <w:rsid w:val="00275A67"/>
    <w:rsid w:val="00277737"/>
    <w:rsid w:val="0028064D"/>
    <w:rsid w:val="00280FF4"/>
    <w:rsid w:val="002815DF"/>
    <w:rsid w:val="002825B3"/>
    <w:rsid w:val="00283F2B"/>
    <w:rsid w:val="00284588"/>
    <w:rsid w:val="0028547F"/>
    <w:rsid w:val="00286939"/>
    <w:rsid w:val="00286E93"/>
    <w:rsid w:val="00291D1A"/>
    <w:rsid w:val="002952E6"/>
    <w:rsid w:val="00296E11"/>
    <w:rsid w:val="002975E1"/>
    <w:rsid w:val="002A0989"/>
    <w:rsid w:val="002A144A"/>
    <w:rsid w:val="002A15C6"/>
    <w:rsid w:val="002A1B47"/>
    <w:rsid w:val="002A3729"/>
    <w:rsid w:val="002A6549"/>
    <w:rsid w:val="002A7835"/>
    <w:rsid w:val="002B137B"/>
    <w:rsid w:val="002B15FC"/>
    <w:rsid w:val="002B2E56"/>
    <w:rsid w:val="002B4EFF"/>
    <w:rsid w:val="002C08EC"/>
    <w:rsid w:val="002C225B"/>
    <w:rsid w:val="002C27CF"/>
    <w:rsid w:val="002C2AC7"/>
    <w:rsid w:val="002C3B97"/>
    <w:rsid w:val="002C64C3"/>
    <w:rsid w:val="002C6B15"/>
    <w:rsid w:val="002C7F0F"/>
    <w:rsid w:val="002D2957"/>
    <w:rsid w:val="002D2ADD"/>
    <w:rsid w:val="002D3F9B"/>
    <w:rsid w:val="002D5745"/>
    <w:rsid w:val="002D5F12"/>
    <w:rsid w:val="002D6171"/>
    <w:rsid w:val="002D7C2E"/>
    <w:rsid w:val="002E113A"/>
    <w:rsid w:val="002F2202"/>
    <w:rsid w:val="002F65FE"/>
    <w:rsid w:val="002F688F"/>
    <w:rsid w:val="00300F7C"/>
    <w:rsid w:val="00300FFE"/>
    <w:rsid w:val="003014E2"/>
    <w:rsid w:val="00301927"/>
    <w:rsid w:val="00302913"/>
    <w:rsid w:val="0030292A"/>
    <w:rsid w:val="00302C50"/>
    <w:rsid w:val="00302C93"/>
    <w:rsid w:val="00302E28"/>
    <w:rsid w:val="00302EE7"/>
    <w:rsid w:val="0030324D"/>
    <w:rsid w:val="0030598F"/>
    <w:rsid w:val="003079F0"/>
    <w:rsid w:val="00312078"/>
    <w:rsid w:val="00312F81"/>
    <w:rsid w:val="00313064"/>
    <w:rsid w:val="00314195"/>
    <w:rsid w:val="00314E56"/>
    <w:rsid w:val="00315055"/>
    <w:rsid w:val="003157B8"/>
    <w:rsid w:val="00315F4E"/>
    <w:rsid w:val="00320FE7"/>
    <w:rsid w:val="00321594"/>
    <w:rsid w:val="0032503B"/>
    <w:rsid w:val="00327D80"/>
    <w:rsid w:val="00330263"/>
    <w:rsid w:val="00330C91"/>
    <w:rsid w:val="00331686"/>
    <w:rsid w:val="00332359"/>
    <w:rsid w:val="003334C8"/>
    <w:rsid w:val="00333ECD"/>
    <w:rsid w:val="0033406F"/>
    <w:rsid w:val="003349B6"/>
    <w:rsid w:val="00334F7D"/>
    <w:rsid w:val="003379BC"/>
    <w:rsid w:val="00342261"/>
    <w:rsid w:val="003435FB"/>
    <w:rsid w:val="00345EA5"/>
    <w:rsid w:val="003466C9"/>
    <w:rsid w:val="003511E3"/>
    <w:rsid w:val="003514C1"/>
    <w:rsid w:val="00352B89"/>
    <w:rsid w:val="00353C63"/>
    <w:rsid w:val="00353E60"/>
    <w:rsid w:val="003565FB"/>
    <w:rsid w:val="00356DDA"/>
    <w:rsid w:val="00356F33"/>
    <w:rsid w:val="00361DDD"/>
    <w:rsid w:val="003626BE"/>
    <w:rsid w:val="003629B1"/>
    <w:rsid w:val="003629E3"/>
    <w:rsid w:val="00362A90"/>
    <w:rsid w:val="003648D8"/>
    <w:rsid w:val="00364A70"/>
    <w:rsid w:val="0036590A"/>
    <w:rsid w:val="003662E9"/>
    <w:rsid w:val="00367E69"/>
    <w:rsid w:val="00370C62"/>
    <w:rsid w:val="003712DB"/>
    <w:rsid w:val="00372A7E"/>
    <w:rsid w:val="00372D12"/>
    <w:rsid w:val="00374AC3"/>
    <w:rsid w:val="003752EB"/>
    <w:rsid w:val="0037566B"/>
    <w:rsid w:val="003756C1"/>
    <w:rsid w:val="0037709C"/>
    <w:rsid w:val="003802CD"/>
    <w:rsid w:val="00380CFD"/>
    <w:rsid w:val="00380D60"/>
    <w:rsid w:val="00383153"/>
    <w:rsid w:val="003856C9"/>
    <w:rsid w:val="00385C86"/>
    <w:rsid w:val="003861EB"/>
    <w:rsid w:val="00386BB0"/>
    <w:rsid w:val="00386E0F"/>
    <w:rsid w:val="003871EB"/>
    <w:rsid w:val="00387F31"/>
    <w:rsid w:val="00390F91"/>
    <w:rsid w:val="003911F7"/>
    <w:rsid w:val="00393220"/>
    <w:rsid w:val="003943E9"/>
    <w:rsid w:val="00394F2F"/>
    <w:rsid w:val="003963E2"/>
    <w:rsid w:val="00397803"/>
    <w:rsid w:val="003A3528"/>
    <w:rsid w:val="003A5550"/>
    <w:rsid w:val="003A6C3E"/>
    <w:rsid w:val="003A77C0"/>
    <w:rsid w:val="003A7B74"/>
    <w:rsid w:val="003B0BAD"/>
    <w:rsid w:val="003B0BC8"/>
    <w:rsid w:val="003B14F4"/>
    <w:rsid w:val="003B3475"/>
    <w:rsid w:val="003B4C14"/>
    <w:rsid w:val="003B4D7C"/>
    <w:rsid w:val="003B62A1"/>
    <w:rsid w:val="003B7955"/>
    <w:rsid w:val="003C260F"/>
    <w:rsid w:val="003C4E54"/>
    <w:rsid w:val="003C5758"/>
    <w:rsid w:val="003C5C64"/>
    <w:rsid w:val="003C5FEA"/>
    <w:rsid w:val="003C672F"/>
    <w:rsid w:val="003D5E37"/>
    <w:rsid w:val="003D750E"/>
    <w:rsid w:val="003E3742"/>
    <w:rsid w:val="003E4044"/>
    <w:rsid w:val="003E5D2A"/>
    <w:rsid w:val="003E61F7"/>
    <w:rsid w:val="003E7F37"/>
    <w:rsid w:val="003F1ED5"/>
    <w:rsid w:val="003F26FD"/>
    <w:rsid w:val="003F3A47"/>
    <w:rsid w:val="003F62CB"/>
    <w:rsid w:val="003F7808"/>
    <w:rsid w:val="00400D23"/>
    <w:rsid w:val="00401C45"/>
    <w:rsid w:val="00401D9A"/>
    <w:rsid w:val="00401E3C"/>
    <w:rsid w:val="0040386A"/>
    <w:rsid w:val="00403BC6"/>
    <w:rsid w:val="00406036"/>
    <w:rsid w:val="00407B49"/>
    <w:rsid w:val="004110B1"/>
    <w:rsid w:val="004119F0"/>
    <w:rsid w:val="00411C76"/>
    <w:rsid w:val="00412DA8"/>
    <w:rsid w:val="00415091"/>
    <w:rsid w:val="00415329"/>
    <w:rsid w:val="004158BB"/>
    <w:rsid w:val="00415909"/>
    <w:rsid w:val="00416815"/>
    <w:rsid w:val="0041712F"/>
    <w:rsid w:val="004176BF"/>
    <w:rsid w:val="00417B67"/>
    <w:rsid w:val="00417E64"/>
    <w:rsid w:val="0042065C"/>
    <w:rsid w:val="0042308B"/>
    <w:rsid w:val="004242E0"/>
    <w:rsid w:val="00424CE6"/>
    <w:rsid w:val="00425372"/>
    <w:rsid w:val="00427041"/>
    <w:rsid w:val="00431189"/>
    <w:rsid w:val="00432086"/>
    <w:rsid w:val="004330D5"/>
    <w:rsid w:val="004336BE"/>
    <w:rsid w:val="00433E58"/>
    <w:rsid w:val="004350DE"/>
    <w:rsid w:val="00435F89"/>
    <w:rsid w:val="00436CB4"/>
    <w:rsid w:val="00437F08"/>
    <w:rsid w:val="00440EB8"/>
    <w:rsid w:val="00441659"/>
    <w:rsid w:val="004420CC"/>
    <w:rsid w:val="00444144"/>
    <w:rsid w:val="00445148"/>
    <w:rsid w:val="00446C13"/>
    <w:rsid w:val="00446E29"/>
    <w:rsid w:val="00450CFA"/>
    <w:rsid w:val="00451E0A"/>
    <w:rsid w:val="00452446"/>
    <w:rsid w:val="004525EB"/>
    <w:rsid w:val="00454D93"/>
    <w:rsid w:val="0045566D"/>
    <w:rsid w:val="00455CBE"/>
    <w:rsid w:val="00455F1A"/>
    <w:rsid w:val="0045667C"/>
    <w:rsid w:val="00456A61"/>
    <w:rsid w:val="004571FE"/>
    <w:rsid w:val="004649F1"/>
    <w:rsid w:val="004659A8"/>
    <w:rsid w:val="0047089C"/>
    <w:rsid w:val="004721A5"/>
    <w:rsid w:val="00472884"/>
    <w:rsid w:val="00473FFA"/>
    <w:rsid w:val="00474502"/>
    <w:rsid w:val="00474C40"/>
    <w:rsid w:val="004756DD"/>
    <w:rsid w:val="0047736E"/>
    <w:rsid w:val="004800BE"/>
    <w:rsid w:val="00480873"/>
    <w:rsid w:val="00481156"/>
    <w:rsid w:val="004814F8"/>
    <w:rsid w:val="004829DE"/>
    <w:rsid w:val="00482FDC"/>
    <w:rsid w:val="00487F59"/>
    <w:rsid w:val="00490167"/>
    <w:rsid w:val="00491C19"/>
    <w:rsid w:val="00492C3A"/>
    <w:rsid w:val="004950D5"/>
    <w:rsid w:val="0049529D"/>
    <w:rsid w:val="004963E5"/>
    <w:rsid w:val="004967CE"/>
    <w:rsid w:val="004A05F4"/>
    <w:rsid w:val="004A1E68"/>
    <w:rsid w:val="004A1FFF"/>
    <w:rsid w:val="004A31F9"/>
    <w:rsid w:val="004A3F7A"/>
    <w:rsid w:val="004A6947"/>
    <w:rsid w:val="004A7B62"/>
    <w:rsid w:val="004B0AF6"/>
    <w:rsid w:val="004B0EDB"/>
    <w:rsid w:val="004B4BB1"/>
    <w:rsid w:val="004B611E"/>
    <w:rsid w:val="004B6AD2"/>
    <w:rsid w:val="004B7323"/>
    <w:rsid w:val="004B73D3"/>
    <w:rsid w:val="004B7F1C"/>
    <w:rsid w:val="004C2080"/>
    <w:rsid w:val="004C4BD9"/>
    <w:rsid w:val="004C61BD"/>
    <w:rsid w:val="004C6AAF"/>
    <w:rsid w:val="004D1C41"/>
    <w:rsid w:val="004D24C5"/>
    <w:rsid w:val="004D359E"/>
    <w:rsid w:val="004D755D"/>
    <w:rsid w:val="004E06DD"/>
    <w:rsid w:val="004E0CE3"/>
    <w:rsid w:val="004F0416"/>
    <w:rsid w:val="004F2AA1"/>
    <w:rsid w:val="004F310C"/>
    <w:rsid w:val="004F3EDA"/>
    <w:rsid w:val="004F50FE"/>
    <w:rsid w:val="004F6203"/>
    <w:rsid w:val="004F7223"/>
    <w:rsid w:val="004F7E8D"/>
    <w:rsid w:val="00501DA2"/>
    <w:rsid w:val="00502AC1"/>
    <w:rsid w:val="00507DCF"/>
    <w:rsid w:val="00507E75"/>
    <w:rsid w:val="00510EE1"/>
    <w:rsid w:val="00511865"/>
    <w:rsid w:val="00512584"/>
    <w:rsid w:val="0051336E"/>
    <w:rsid w:val="00514D31"/>
    <w:rsid w:val="00516FB5"/>
    <w:rsid w:val="00521BD1"/>
    <w:rsid w:val="00523336"/>
    <w:rsid w:val="00524841"/>
    <w:rsid w:val="00527644"/>
    <w:rsid w:val="005276FF"/>
    <w:rsid w:val="00527AA9"/>
    <w:rsid w:val="00527EA9"/>
    <w:rsid w:val="00530B74"/>
    <w:rsid w:val="00530BDE"/>
    <w:rsid w:val="00530DA6"/>
    <w:rsid w:val="005317E7"/>
    <w:rsid w:val="00532C48"/>
    <w:rsid w:val="0053337A"/>
    <w:rsid w:val="00533A04"/>
    <w:rsid w:val="00533C05"/>
    <w:rsid w:val="00533D36"/>
    <w:rsid w:val="005349CB"/>
    <w:rsid w:val="005350E5"/>
    <w:rsid w:val="0053603B"/>
    <w:rsid w:val="00537469"/>
    <w:rsid w:val="0054165E"/>
    <w:rsid w:val="00541927"/>
    <w:rsid w:val="00544751"/>
    <w:rsid w:val="005458F5"/>
    <w:rsid w:val="00546589"/>
    <w:rsid w:val="00546764"/>
    <w:rsid w:val="0054786B"/>
    <w:rsid w:val="005559AF"/>
    <w:rsid w:val="005571BD"/>
    <w:rsid w:val="00560811"/>
    <w:rsid w:val="00560A5B"/>
    <w:rsid w:val="0056141D"/>
    <w:rsid w:val="005619B2"/>
    <w:rsid w:val="00563CD6"/>
    <w:rsid w:val="00564424"/>
    <w:rsid w:val="00565ACF"/>
    <w:rsid w:val="00567C2D"/>
    <w:rsid w:val="0057065B"/>
    <w:rsid w:val="00570E1A"/>
    <w:rsid w:val="00571488"/>
    <w:rsid w:val="005728B2"/>
    <w:rsid w:val="0057364B"/>
    <w:rsid w:val="005742EE"/>
    <w:rsid w:val="00581E1F"/>
    <w:rsid w:val="00587C41"/>
    <w:rsid w:val="005926B1"/>
    <w:rsid w:val="00592711"/>
    <w:rsid w:val="00594B50"/>
    <w:rsid w:val="00594DD2"/>
    <w:rsid w:val="005950E9"/>
    <w:rsid w:val="005A094C"/>
    <w:rsid w:val="005A0E65"/>
    <w:rsid w:val="005A46BC"/>
    <w:rsid w:val="005A6245"/>
    <w:rsid w:val="005A6A19"/>
    <w:rsid w:val="005B0950"/>
    <w:rsid w:val="005B0BF0"/>
    <w:rsid w:val="005B3274"/>
    <w:rsid w:val="005B46D1"/>
    <w:rsid w:val="005B5366"/>
    <w:rsid w:val="005B6C62"/>
    <w:rsid w:val="005B7BCA"/>
    <w:rsid w:val="005C0B41"/>
    <w:rsid w:val="005C11D9"/>
    <w:rsid w:val="005C16F2"/>
    <w:rsid w:val="005C34B7"/>
    <w:rsid w:val="005C41EF"/>
    <w:rsid w:val="005C46BD"/>
    <w:rsid w:val="005C51FD"/>
    <w:rsid w:val="005C5465"/>
    <w:rsid w:val="005C6758"/>
    <w:rsid w:val="005C6BAA"/>
    <w:rsid w:val="005D20C3"/>
    <w:rsid w:val="005D2159"/>
    <w:rsid w:val="005E19A5"/>
    <w:rsid w:val="005E1C69"/>
    <w:rsid w:val="005E35C6"/>
    <w:rsid w:val="005E4297"/>
    <w:rsid w:val="005E4D56"/>
    <w:rsid w:val="005E6068"/>
    <w:rsid w:val="005E6777"/>
    <w:rsid w:val="005E7F4B"/>
    <w:rsid w:val="005F1EA3"/>
    <w:rsid w:val="005F20BB"/>
    <w:rsid w:val="005F24D0"/>
    <w:rsid w:val="005F6F9A"/>
    <w:rsid w:val="005F7FBA"/>
    <w:rsid w:val="006005EF"/>
    <w:rsid w:val="00601805"/>
    <w:rsid w:val="006025E9"/>
    <w:rsid w:val="00603DF6"/>
    <w:rsid w:val="00603FCF"/>
    <w:rsid w:val="006042F3"/>
    <w:rsid w:val="00610C81"/>
    <w:rsid w:val="00612060"/>
    <w:rsid w:val="0061266A"/>
    <w:rsid w:val="00614896"/>
    <w:rsid w:val="00620179"/>
    <w:rsid w:val="00621E02"/>
    <w:rsid w:val="006227DE"/>
    <w:rsid w:val="00623AE9"/>
    <w:rsid w:val="0062438C"/>
    <w:rsid w:val="0062454C"/>
    <w:rsid w:val="0062497F"/>
    <w:rsid w:val="00624D62"/>
    <w:rsid w:val="00625648"/>
    <w:rsid w:val="0062679A"/>
    <w:rsid w:val="00627FD5"/>
    <w:rsid w:val="0063394F"/>
    <w:rsid w:val="006343DC"/>
    <w:rsid w:val="0063458A"/>
    <w:rsid w:val="006364DF"/>
    <w:rsid w:val="00636502"/>
    <w:rsid w:val="00636679"/>
    <w:rsid w:val="006368E7"/>
    <w:rsid w:val="006373F0"/>
    <w:rsid w:val="00637D22"/>
    <w:rsid w:val="0064048B"/>
    <w:rsid w:val="0064053E"/>
    <w:rsid w:val="006413CB"/>
    <w:rsid w:val="00642480"/>
    <w:rsid w:val="0064472F"/>
    <w:rsid w:val="00644881"/>
    <w:rsid w:val="006455B0"/>
    <w:rsid w:val="0064573B"/>
    <w:rsid w:val="006467E7"/>
    <w:rsid w:val="00647AA7"/>
    <w:rsid w:val="00653FA6"/>
    <w:rsid w:val="00654398"/>
    <w:rsid w:val="0065451A"/>
    <w:rsid w:val="00654694"/>
    <w:rsid w:val="006564D3"/>
    <w:rsid w:val="00657C6A"/>
    <w:rsid w:val="00657EC2"/>
    <w:rsid w:val="0066000A"/>
    <w:rsid w:val="006608A0"/>
    <w:rsid w:val="00660D25"/>
    <w:rsid w:val="0066186A"/>
    <w:rsid w:val="006623A0"/>
    <w:rsid w:val="00663DF1"/>
    <w:rsid w:val="00664261"/>
    <w:rsid w:val="0066437C"/>
    <w:rsid w:val="00665E12"/>
    <w:rsid w:val="00667305"/>
    <w:rsid w:val="006716D5"/>
    <w:rsid w:val="006717F1"/>
    <w:rsid w:val="00673012"/>
    <w:rsid w:val="00673067"/>
    <w:rsid w:val="006733B1"/>
    <w:rsid w:val="00673534"/>
    <w:rsid w:val="00674B72"/>
    <w:rsid w:val="00676F40"/>
    <w:rsid w:val="00681082"/>
    <w:rsid w:val="00685B8F"/>
    <w:rsid w:val="00685DBB"/>
    <w:rsid w:val="006867BC"/>
    <w:rsid w:val="00687939"/>
    <w:rsid w:val="00687957"/>
    <w:rsid w:val="00690005"/>
    <w:rsid w:val="0069129E"/>
    <w:rsid w:val="00692148"/>
    <w:rsid w:val="00693DFF"/>
    <w:rsid w:val="006954AE"/>
    <w:rsid w:val="006A0440"/>
    <w:rsid w:val="006A0B8B"/>
    <w:rsid w:val="006A0E16"/>
    <w:rsid w:val="006A133E"/>
    <w:rsid w:val="006A400C"/>
    <w:rsid w:val="006A6356"/>
    <w:rsid w:val="006A63BC"/>
    <w:rsid w:val="006A67F0"/>
    <w:rsid w:val="006B0585"/>
    <w:rsid w:val="006B1BB5"/>
    <w:rsid w:val="006B3D32"/>
    <w:rsid w:val="006B5497"/>
    <w:rsid w:val="006B5A03"/>
    <w:rsid w:val="006B5D50"/>
    <w:rsid w:val="006B5F15"/>
    <w:rsid w:val="006B7409"/>
    <w:rsid w:val="006B7FFC"/>
    <w:rsid w:val="006C0DA9"/>
    <w:rsid w:val="006C0E9F"/>
    <w:rsid w:val="006C1424"/>
    <w:rsid w:val="006C1E67"/>
    <w:rsid w:val="006C5600"/>
    <w:rsid w:val="006C6135"/>
    <w:rsid w:val="006C7FA2"/>
    <w:rsid w:val="006D0E0D"/>
    <w:rsid w:val="006D20A9"/>
    <w:rsid w:val="006D326F"/>
    <w:rsid w:val="006D5CFE"/>
    <w:rsid w:val="006D72AB"/>
    <w:rsid w:val="006E171B"/>
    <w:rsid w:val="006E3A12"/>
    <w:rsid w:val="006E5F7F"/>
    <w:rsid w:val="006F0D6E"/>
    <w:rsid w:val="006F0EFC"/>
    <w:rsid w:val="006F15BC"/>
    <w:rsid w:val="006F211F"/>
    <w:rsid w:val="006F3141"/>
    <w:rsid w:val="006F34B4"/>
    <w:rsid w:val="006F6A13"/>
    <w:rsid w:val="007006FD"/>
    <w:rsid w:val="007022EC"/>
    <w:rsid w:val="00704229"/>
    <w:rsid w:val="00705AD7"/>
    <w:rsid w:val="00705F7D"/>
    <w:rsid w:val="0070705A"/>
    <w:rsid w:val="0071348D"/>
    <w:rsid w:val="00714EB9"/>
    <w:rsid w:val="00717CF6"/>
    <w:rsid w:val="007268C8"/>
    <w:rsid w:val="007300AE"/>
    <w:rsid w:val="007318D0"/>
    <w:rsid w:val="00731996"/>
    <w:rsid w:val="007319F3"/>
    <w:rsid w:val="00735F11"/>
    <w:rsid w:val="00735FA5"/>
    <w:rsid w:val="00736602"/>
    <w:rsid w:val="007379E0"/>
    <w:rsid w:val="00744A68"/>
    <w:rsid w:val="00744F19"/>
    <w:rsid w:val="007472DD"/>
    <w:rsid w:val="00751078"/>
    <w:rsid w:val="0075242C"/>
    <w:rsid w:val="0075263D"/>
    <w:rsid w:val="00754F72"/>
    <w:rsid w:val="00755DDC"/>
    <w:rsid w:val="007566A5"/>
    <w:rsid w:val="00756F4C"/>
    <w:rsid w:val="00764A28"/>
    <w:rsid w:val="00764AD8"/>
    <w:rsid w:val="0076671E"/>
    <w:rsid w:val="00767970"/>
    <w:rsid w:val="00771DE3"/>
    <w:rsid w:val="007728C6"/>
    <w:rsid w:val="00772A18"/>
    <w:rsid w:val="0077318B"/>
    <w:rsid w:val="00773630"/>
    <w:rsid w:val="007736D1"/>
    <w:rsid w:val="00774B49"/>
    <w:rsid w:val="00775571"/>
    <w:rsid w:val="00776691"/>
    <w:rsid w:val="007769AC"/>
    <w:rsid w:val="00780187"/>
    <w:rsid w:val="0078174E"/>
    <w:rsid w:val="007824F5"/>
    <w:rsid w:val="00783C85"/>
    <w:rsid w:val="00783FBB"/>
    <w:rsid w:val="00785F29"/>
    <w:rsid w:val="007906DD"/>
    <w:rsid w:val="00792C9B"/>
    <w:rsid w:val="00792DAD"/>
    <w:rsid w:val="00795189"/>
    <w:rsid w:val="00795768"/>
    <w:rsid w:val="00796BE6"/>
    <w:rsid w:val="007A0E44"/>
    <w:rsid w:val="007A3BDA"/>
    <w:rsid w:val="007A3FFC"/>
    <w:rsid w:val="007A4079"/>
    <w:rsid w:val="007A66AA"/>
    <w:rsid w:val="007A66B1"/>
    <w:rsid w:val="007A69B7"/>
    <w:rsid w:val="007A7ACA"/>
    <w:rsid w:val="007B60BB"/>
    <w:rsid w:val="007C18D3"/>
    <w:rsid w:val="007C317F"/>
    <w:rsid w:val="007C3C0E"/>
    <w:rsid w:val="007C3C34"/>
    <w:rsid w:val="007C6130"/>
    <w:rsid w:val="007D03DD"/>
    <w:rsid w:val="007D0964"/>
    <w:rsid w:val="007D1C36"/>
    <w:rsid w:val="007D1F34"/>
    <w:rsid w:val="007D22FD"/>
    <w:rsid w:val="007D32AC"/>
    <w:rsid w:val="007D4A24"/>
    <w:rsid w:val="007D62C3"/>
    <w:rsid w:val="007D7642"/>
    <w:rsid w:val="007D7931"/>
    <w:rsid w:val="007E00A6"/>
    <w:rsid w:val="007E07D3"/>
    <w:rsid w:val="007E1FBA"/>
    <w:rsid w:val="007E31CF"/>
    <w:rsid w:val="007E3FD6"/>
    <w:rsid w:val="007E67D2"/>
    <w:rsid w:val="007E6F8A"/>
    <w:rsid w:val="007E7183"/>
    <w:rsid w:val="007F0062"/>
    <w:rsid w:val="007F0199"/>
    <w:rsid w:val="007F0A29"/>
    <w:rsid w:val="007F4C06"/>
    <w:rsid w:val="007F4F3B"/>
    <w:rsid w:val="007F64A9"/>
    <w:rsid w:val="007F65D8"/>
    <w:rsid w:val="007F6646"/>
    <w:rsid w:val="007F7A69"/>
    <w:rsid w:val="00800BBC"/>
    <w:rsid w:val="00800D5A"/>
    <w:rsid w:val="00802616"/>
    <w:rsid w:val="0081026D"/>
    <w:rsid w:val="00813388"/>
    <w:rsid w:val="00814D39"/>
    <w:rsid w:val="00821CA2"/>
    <w:rsid w:val="00822D2E"/>
    <w:rsid w:val="00824AFB"/>
    <w:rsid w:val="008257DE"/>
    <w:rsid w:val="00826410"/>
    <w:rsid w:val="008266B0"/>
    <w:rsid w:val="00827B08"/>
    <w:rsid w:val="00832248"/>
    <w:rsid w:val="008365F8"/>
    <w:rsid w:val="00840B8B"/>
    <w:rsid w:val="00840CC7"/>
    <w:rsid w:val="008421B4"/>
    <w:rsid w:val="00842CF5"/>
    <w:rsid w:val="00842DA5"/>
    <w:rsid w:val="00845A00"/>
    <w:rsid w:val="00845AC3"/>
    <w:rsid w:val="0085096D"/>
    <w:rsid w:val="0085272E"/>
    <w:rsid w:val="00854F4C"/>
    <w:rsid w:val="00855E65"/>
    <w:rsid w:val="00856E30"/>
    <w:rsid w:val="008578C3"/>
    <w:rsid w:val="0085790C"/>
    <w:rsid w:val="008608BE"/>
    <w:rsid w:val="00860BDC"/>
    <w:rsid w:val="0086173D"/>
    <w:rsid w:val="008644F6"/>
    <w:rsid w:val="008666D8"/>
    <w:rsid w:val="00867BF2"/>
    <w:rsid w:val="00870BCD"/>
    <w:rsid w:val="00870DCE"/>
    <w:rsid w:val="008720C7"/>
    <w:rsid w:val="0087308A"/>
    <w:rsid w:val="00882322"/>
    <w:rsid w:val="0088232A"/>
    <w:rsid w:val="0088265B"/>
    <w:rsid w:val="00882BF2"/>
    <w:rsid w:val="00883CC5"/>
    <w:rsid w:val="008845E5"/>
    <w:rsid w:val="00884F87"/>
    <w:rsid w:val="00885025"/>
    <w:rsid w:val="00885F9A"/>
    <w:rsid w:val="00886070"/>
    <w:rsid w:val="00886FA6"/>
    <w:rsid w:val="00887BA5"/>
    <w:rsid w:val="0089012F"/>
    <w:rsid w:val="00891974"/>
    <w:rsid w:val="00892955"/>
    <w:rsid w:val="008934D0"/>
    <w:rsid w:val="00895624"/>
    <w:rsid w:val="00895C13"/>
    <w:rsid w:val="008A0FD2"/>
    <w:rsid w:val="008A1B0D"/>
    <w:rsid w:val="008A1EAF"/>
    <w:rsid w:val="008A28E0"/>
    <w:rsid w:val="008A2979"/>
    <w:rsid w:val="008A340D"/>
    <w:rsid w:val="008A4B5C"/>
    <w:rsid w:val="008A522B"/>
    <w:rsid w:val="008A68CC"/>
    <w:rsid w:val="008B01E8"/>
    <w:rsid w:val="008B0AF1"/>
    <w:rsid w:val="008B15F5"/>
    <w:rsid w:val="008B1AE1"/>
    <w:rsid w:val="008B5333"/>
    <w:rsid w:val="008B65E7"/>
    <w:rsid w:val="008B6667"/>
    <w:rsid w:val="008B7BE7"/>
    <w:rsid w:val="008C00D9"/>
    <w:rsid w:val="008C473B"/>
    <w:rsid w:val="008C4EDD"/>
    <w:rsid w:val="008C5E70"/>
    <w:rsid w:val="008C5F5B"/>
    <w:rsid w:val="008C6CA5"/>
    <w:rsid w:val="008C7AAE"/>
    <w:rsid w:val="008D08B2"/>
    <w:rsid w:val="008D1451"/>
    <w:rsid w:val="008D1B17"/>
    <w:rsid w:val="008D2209"/>
    <w:rsid w:val="008D4565"/>
    <w:rsid w:val="008D7FD7"/>
    <w:rsid w:val="008E0D64"/>
    <w:rsid w:val="008E1746"/>
    <w:rsid w:val="008E2ECF"/>
    <w:rsid w:val="008E42BE"/>
    <w:rsid w:val="008E6478"/>
    <w:rsid w:val="008E7014"/>
    <w:rsid w:val="008E7281"/>
    <w:rsid w:val="008F027D"/>
    <w:rsid w:val="008F1630"/>
    <w:rsid w:val="008F3339"/>
    <w:rsid w:val="008F58C9"/>
    <w:rsid w:val="008F5C43"/>
    <w:rsid w:val="008F74B2"/>
    <w:rsid w:val="008F79AD"/>
    <w:rsid w:val="00900152"/>
    <w:rsid w:val="00900964"/>
    <w:rsid w:val="00902514"/>
    <w:rsid w:val="009031E8"/>
    <w:rsid w:val="00903220"/>
    <w:rsid w:val="00903A72"/>
    <w:rsid w:val="00904339"/>
    <w:rsid w:val="00904C07"/>
    <w:rsid w:val="009061B9"/>
    <w:rsid w:val="0090620C"/>
    <w:rsid w:val="0090644D"/>
    <w:rsid w:val="0091037E"/>
    <w:rsid w:val="00910CFF"/>
    <w:rsid w:val="00912C96"/>
    <w:rsid w:val="009147E9"/>
    <w:rsid w:val="009154D0"/>
    <w:rsid w:val="00917332"/>
    <w:rsid w:val="0092075C"/>
    <w:rsid w:val="009224FF"/>
    <w:rsid w:val="009225C9"/>
    <w:rsid w:val="009251F4"/>
    <w:rsid w:val="009261CF"/>
    <w:rsid w:val="009263B8"/>
    <w:rsid w:val="009268A0"/>
    <w:rsid w:val="009269B6"/>
    <w:rsid w:val="00931E43"/>
    <w:rsid w:val="00935C5D"/>
    <w:rsid w:val="00937FCC"/>
    <w:rsid w:val="00941B46"/>
    <w:rsid w:val="0094474B"/>
    <w:rsid w:val="009450F8"/>
    <w:rsid w:val="00945E8D"/>
    <w:rsid w:val="009465E9"/>
    <w:rsid w:val="00947379"/>
    <w:rsid w:val="00952C8D"/>
    <w:rsid w:val="00954753"/>
    <w:rsid w:val="009559A0"/>
    <w:rsid w:val="00955D7C"/>
    <w:rsid w:val="00956061"/>
    <w:rsid w:val="009574FB"/>
    <w:rsid w:val="00961116"/>
    <w:rsid w:val="00964485"/>
    <w:rsid w:val="00970033"/>
    <w:rsid w:val="009700FF"/>
    <w:rsid w:val="00970251"/>
    <w:rsid w:val="00970302"/>
    <w:rsid w:val="00970B42"/>
    <w:rsid w:val="009733BF"/>
    <w:rsid w:val="0097620A"/>
    <w:rsid w:val="00977093"/>
    <w:rsid w:val="00981DF1"/>
    <w:rsid w:val="00985D1F"/>
    <w:rsid w:val="009860CF"/>
    <w:rsid w:val="00987B04"/>
    <w:rsid w:val="009901FE"/>
    <w:rsid w:val="0099042F"/>
    <w:rsid w:val="00990882"/>
    <w:rsid w:val="00991B12"/>
    <w:rsid w:val="00992CF4"/>
    <w:rsid w:val="009939C5"/>
    <w:rsid w:val="00993BE1"/>
    <w:rsid w:val="00994D93"/>
    <w:rsid w:val="0099773C"/>
    <w:rsid w:val="009A0114"/>
    <w:rsid w:val="009A0D16"/>
    <w:rsid w:val="009A4C90"/>
    <w:rsid w:val="009A645E"/>
    <w:rsid w:val="009B0631"/>
    <w:rsid w:val="009B0C4E"/>
    <w:rsid w:val="009B127B"/>
    <w:rsid w:val="009B4280"/>
    <w:rsid w:val="009B4DC2"/>
    <w:rsid w:val="009B5D16"/>
    <w:rsid w:val="009C0881"/>
    <w:rsid w:val="009C2DBB"/>
    <w:rsid w:val="009C539E"/>
    <w:rsid w:val="009C6B62"/>
    <w:rsid w:val="009D1388"/>
    <w:rsid w:val="009D1B30"/>
    <w:rsid w:val="009D2ED9"/>
    <w:rsid w:val="009D3A7F"/>
    <w:rsid w:val="009D4E08"/>
    <w:rsid w:val="009D6503"/>
    <w:rsid w:val="009D6797"/>
    <w:rsid w:val="009E0A86"/>
    <w:rsid w:val="009E1D14"/>
    <w:rsid w:val="009E45F7"/>
    <w:rsid w:val="009E7600"/>
    <w:rsid w:val="009F11B1"/>
    <w:rsid w:val="009F405A"/>
    <w:rsid w:val="009F4EED"/>
    <w:rsid w:val="009F6826"/>
    <w:rsid w:val="009F6F41"/>
    <w:rsid w:val="00A012D3"/>
    <w:rsid w:val="00A014A6"/>
    <w:rsid w:val="00A02105"/>
    <w:rsid w:val="00A02D9B"/>
    <w:rsid w:val="00A02DA5"/>
    <w:rsid w:val="00A06C36"/>
    <w:rsid w:val="00A103D2"/>
    <w:rsid w:val="00A1066C"/>
    <w:rsid w:val="00A12771"/>
    <w:rsid w:val="00A14E4F"/>
    <w:rsid w:val="00A159CC"/>
    <w:rsid w:val="00A15B2E"/>
    <w:rsid w:val="00A15D00"/>
    <w:rsid w:val="00A15D5E"/>
    <w:rsid w:val="00A17429"/>
    <w:rsid w:val="00A2013B"/>
    <w:rsid w:val="00A20A41"/>
    <w:rsid w:val="00A22297"/>
    <w:rsid w:val="00A22634"/>
    <w:rsid w:val="00A23141"/>
    <w:rsid w:val="00A2319B"/>
    <w:rsid w:val="00A24733"/>
    <w:rsid w:val="00A24B46"/>
    <w:rsid w:val="00A2535A"/>
    <w:rsid w:val="00A26716"/>
    <w:rsid w:val="00A27179"/>
    <w:rsid w:val="00A319B4"/>
    <w:rsid w:val="00A3210D"/>
    <w:rsid w:val="00A332A0"/>
    <w:rsid w:val="00A35114"/>
    <w:rsid w:val="00A37A94"/>
    <w:rsid w:val="00A40B1C"/>
    <w:rsid w:val="00A40FE1"/>
    <w:rsid w:val="00A440EA"/>
    <w:rsid w:val="00A445C4"/>
    <w:rsid w:val="00A45B47"/>
    <w:rsid w:val="00A508AB"/>
    <w:rsid w:val="00A51383"/>
    <w:rsid w:val="00A56202"/>
    <w:rsid w:val="00A571BD"/>
    <w:rsid w:val="00A579AB"/>
    <w:rsid w:val="00A606E8"/>
    <w:rsid w:val="00A60910"/>
    <w:rsid w:val="00A612E7"/>
    <w:rsid w:val="00A63DBE"/>
    <w:rsid w:val="00A647E7"/>
    <w:rsid w:val="00A66C41"/>
    <w:rsid w:val="00A67F2B"/>
    <w:rsid w:val="00A705F3"/>
    <w:rsid w:val="00A72D0D"/>
    <w:rsid w:val="00A75B84"/>
    <w:rsid w:val="00A859EC"/>
    <w:rsid w:val="00A90158"/>
    <w:rsid w:val="00A91338"/>
    <w:rsid w:val="00A918AB"/>
    <w:rsid w:val="00A91B90"/>
    <w:rsid w:val="00A9586D"/>
    <w:rsid w:val="00A966C0"/>
    <w:rsid w:val="00AA003D"/>
    <w:rsid w:val="00AA02D1"/>
    <w:rsid w:val="00AA39F6"/>
    <w:rsid w:val="00AA4F4D"/>
    <w:rsid w:val="00AA7B2E"/>
    <w:rsid w:val="00AB2338"/>
    <w:rsid w:val="00AB338E"/>
    <w:rsid w:val="00AB36FA"/>
    <w:rsid w:val="00AB3AD2"/>
    <w:rsid w:val="00AB445F"/>
    <w:rsid w:val="00AB452C"/>
    <w:rsid w:val="00AB53EE"/>
    <w:rsid w:val="00AB57DD"/>
    <w:rsid w:val="00AB596E"/>
    <w:rsid w:val="00AB5BBC"/>
    <w:rsid w:val="00AB6F3B"/>
    <w:rsid w:val="00AB7624"/>
    <w:rsid w:val="00AC0711"/>
    <w:rsid w:val="00AC26A1"/>
    <w:rsid w:val="00AC381A"/>
    <w:rsid w:val="00AC5C0F"/>
    <w:rsid w:val="00AC6C58"/>
    <w:rsid w:val="00AC6CAC"/>
    <w:rsid w:val="00AD033D"/>
    <w:rsid w:val="00AD0B0C"/>
    <w:rsid w:val="00AD0B2D"/>
    <w:rsid w:val="00AD4956"/>
    <w:rsid w:val="00AD5C1F"/>
    <w:rsid w:val="00AD6BA2"/>
    <w:rsid w:val="00AD738C"/>
    <w:rsid w:val="00AD7967"/>
    <w:rsid w:val="00AE17FA"/>
    <w:rsid w:val="00AE20BF"/>
    <w:rsid w:val="00AE2AC0"/>
    <w:rsid w:val="00AE3392"/>
    <w:rsid w:val="00AE4903"/>
    <w:rsid w:val="00AE4DE2"/>
    <w:rsid w:val="00AE4FEB"/>
    <w:rsid w:val="00AE723B"/>
    <w:rsid w:val="00AE7987"/>
    <w:rsid w:val="00AE7B26"/>
    <w:rsid w:val="00AF1BEA"/>
    <w:rsid w:val="00AF492A"/>
    <w:rsid w:val="00AF5382"/>
    <w:rsid w:val="00AF5811"/>
    <w:rsid w:val="00AF5F6E"/>
    <w:rsid w:val="00AF6AF2"/>
    <w:rsid w:val="00AF6E7C"/>
    <w:rsid w:val="00B01C12"/>
    <w:rsid w:val="00B022FF"/>
    <w:rsid w:val="00B02DDE"/>
    <w:rsid w:val="00B0312D"/>
    <w:rsid w:val="00B04CAD"/>
    <w:rsid w:val="00B06BF5"/>
    <w:rsid w:val="00B10F3E"/>
    <w:rsid w:val="00B116E7"/>
    <w:rsid w:val="00B120AB"/>
    <w:rsid w:val="00B1290F"/>
    <w:rsid w:val="00B14089"/>
    <w:rsid w:val="00B15D53"/>
    <w:rsid w:val="00B15F53"/>
    <w:rsid w:val="00B211E3"/>
    <w:rsid w:val="00B22A94"/>
    <w:rsid w:val="00B22FEF"/>
    <w:rsid w:val="00B23814"/>
    <w:rsid w:val="00B24BC3"/>
    <w:rsid w:val="00B27A32"/>
    <w:rsid w:val="00B27F13"/>
    <w:rsid w:val="00B34583"/>
    <w:rsid w:val="00B350F4"/>
    <w:rsid w:val="00B363EF"/>
    <w:rsid w:val="00B36F7E"/>
    <w:rsid w:val="00B42B68"/>
    <w:rsid w:val="00B43EB4"/>
    <w:rsid w:val="00B472F5"/>
    <w:rsid w:val="00B5331D"/>
    <w:rsid w:val="00B549C2"/>
    <w:rsid w:val="00B55045"/>
    <w:rsid w:val="00B55803"/>
    <w:rsid w:val="00B55D48"/>
    <w:rsid w:val="00B61C9E"/>
    <w:rsid w:val="00B6250B"/>
    <w:rsid w:val="00B64416"/>
    <w:rsid w:val="00B6496D"/>
    <w:rsid w:val="00B65449"/>
    <w:rsid w:val="00B661F7"/>
    <w:rsid w:val="00B666C2"/>
    <w:rsid w:val="00B6705A"/>
    <w:rsid w:val="00B67FDE"/>
    <w:rsid w:val="00B701F5"/>
    <w:rsid w:val="00B70269"/>
    <w:rsid w:val="00B714E3"/>
    <w:rsid w:val="00B71C5D"/>
    <w:rsid w:val="00B72549"/>
    <w:rsid w:val="00B73E15"/>
    <w:rsid w:val="00B73EC2"/>
    <w:rsid w:val="00B73EF8"/>
    <w:rsid w:val="00B75F5C"/>
    <w:rsid w:val="00B8145D"/>
    <w:rsid w:val="00B81A13"/>
    <w:rsid w:val="00B8218F"/>
    <w:rsid w:val="00B82419"/>
    <w:rsid w:val="00B84580"/>
    <w:rsid w:val="00B87250"/>
    <w:rsid w:val="00B873A7"/>
    <w:rsid w:val="00B8781B"/>
    <w:rsid w:val="00B87F0E"/>
    <w:rsid w:val="00B91FE2"/>
    <w:rsid w:val="00B95902"/>
    <w:rsid w:val="00BA0D38"/>
    <w:rsid w:val="00BA0FD2"/>
    <w:rsid w:val="00BA111A"/>
    <w:rsid w:val="00BA132C"/>
    <w:rsid w:val="00BA3A79"/>
    <w:rsid w:val="00BA4923"/>
    <w:rsid w:val="00BA4C08"/>
    <w:rsid w:val="00BA516A"/>
    <w:rsid w:val="00BB0364"/>
    <w:rsid w:val="00BB076B"/>
    <w:rsid w:val="00BB3207"/>
    <w:rsid w:val="00BB7030"/>
    <w:rsid w:val="00BB7969"/>
    <w:rsid w:val="00BB7E52"/>
    <w:rsid w:val="00BC015B"/>
    <w:rsid w:val="00BC3D89"/>
    <w:rsid w:val="00BC4AC6"/>
    <w:rsid w:val="00BD1572"/>
    <w:rsid w:val="00BD2787"/>
    <w:rsid w:val="00BD36B9"/>
    <w:rsid w:val="00BD408F"/>
    <w:rsid w:val="00BD55B5"/>
    <w:rsid w:val="00BD62C2"/>
    <w:rsid w:val="00BE1684"/>
    <w:rsid w:val="00BE2229"/>
    <w:rsid w:val="00BE284C"/>
    <w:rsid w:val="00BE60F7"/>
    <w:rsid w:val="00BE7B5B"/>
    <w:rsid w:val="00BF1C69"/>
    <w:rsid w:val="00BF2488"/>
    <w:rsid w:val="00BF28A4"/>
    <w:rsid w:val="00BF3E5C"/>
    <w:rsid w:val="00BF46FF"/>
    <w:rsid w:val="00BF4924"/>
    <w:rsid w:val="00BF5280"/>
    <w:rsid w:val="00C009FD"/>
    <w:rsid w:val="00C01134"/>
    <w:rsid w:val="00C026F3"/>
    <w:rsid w:val="00C05F03"/>
    <w:rsid w:val="00C10BDD"/>
    <w:rsid w:val="00C13AC7"/>
    <w:rsid w:val="00C13C6D"/>
    <w:rsid w:val="00C1541D"/>
    <w:rsid w:val="00C15999"/>
    <w:rsid w:val="00C179C3"/>
    <w:rsid w:val="00C2266A"/>
    <w:rsid w:val="00C22C7E"/>
    <w:rsid w:val="00C23590"/>
    <w:rsid w:val="00C2434C"/>
    <w:rsid w:val="00C2515B"/>
    <w:rsid w:val="00C254A6"/>
    <w:rsid w:val="00C270CF"/>
    <w:rsid w:val="00C275CB"/>
    <w:rsid w:val="00C3140D"/>
    <w:rsid w:val="00C3178D"/>
    <w:rsid w:val="00C32E7F"/>
    <w:rsid w:val="00C34299"/>
    <w:rsid w:val="00C34D3B"/>
    <w:rsid w:val="00C36CDA"/>
    <w:rsid w:val="00C37293"/>
    <w:rsid w:val="00C378AA"/>
    <w:rsid w:val="00C43AAB"/>
    <w:rsid w:val="00C44253"/>
    <w:rsid w:val="00C506EE"/>
    <w:rsid w:val="00C51C72"/>
    <w:rsid w:val="00C52C41"/>
    <w:rsid w:val="00C53A51"/>
    <w:rsid w:val="00C56A66"/>
    <w:rsid w:val="00C6124C"/>
    <w:rsid w:val="00C649E2"/>
    <w:rsid w:val="00C64BDD"/>
    <w:rsid w:val="00C660B2"/>
    <w:rsid w:val="00C671D7"/>
    <w:rsid w:val="00C67951"/>
    <w:rsid w:val="00C703FC"/>
    <w:rsid w:val="00C70927"/>
    <w:rsid w:val="00C719F3"/>
    <w:rsid w:val="00C72FAC"/>
    <w:rsid w:val="00C73A60"/>
    <w:rsid w:val="00C74368"/>
    <w:rsid w:val="00C776A1"/>
    <w:rsid w:val="00C776BE"/>
    <w:rsid w:val="00C81399"/>
    <w:rsid w:val="00C82AF5"/>
    <w:rsid w:val="00C82B0C"/>
    <w:rsid w:val="00C83718"/>
    <w:rsid w:val="00C84597"/>
    <w:rsid w:val="00C8512A"/>
    <w:rsid w:val="00C901D6"/>
    <w:rsid w:val="00C93353"/>
    <w:rsid w:val="00C9477A"/>
    <w:rsid w:val="00C9494E"/>
    <w:rsid w:val="00C9590B"/>
    <w:rsid w:val="00C97FC0"/>
    <w:rsid w:val="00CA0708"/>
    <w:rsid w:val="00CA3015"/>
    <w:rsid w:val="00CA3361"/>
    <w:rsid w:val="00CA380A"/>
    <w:rsid w:val="00CA4996"/>
    <w:rsid w:val="00CA49C1"/>
    <w:rsid w:val="00CA5CAA"/>
    <w:rsid w:val="00CA6910"/>
    <w:rsid w:val="00CA7B63"/>
    <w:rsid w:val="00CA7DB1"/>
    <w:rsid w:val="00CB1547"/>
    <w:rsid w:val="00CB193A"/>
    <w:rsid w:val="00CB1CFB"/>
    <w:rsid w:val="00CB35D1"/>
    <w:rsid w:val="00CB3BCD"/>
    <w:rsid w:val="00CB46BE"/>
    <w:rsid w:val="00CB5FCD"/>
    <w:rsid w:val="00CB6DA1"/>
    <w:rsid w:val="00CB7826"/>
    <w:rsid w:val="00CB7DEF"/>
    <w:rsid w:val="00CC0570"/>
    <w:rsid w:val="00CC0EB7"/>
    <w:rsid w:val="00CC1317"/>
    <w:rsid w:val="00CC5701"/>
    <w:rsid w:val="00CC6942"/>
    <w:rsid w:val="00CC7A20"/>
    <w:rsid w:val="00CC7D25"/>
    <w:rsid w:val="00CD20F8"/>
    <w:rsid w:val="00CD2A22"/>
    <w:rsid w:val="00CD36E7"/>
    <w:rsid w:val="00CD6FE3"/>
    <w:rsid w:val="00CE1622"/>
    <w:rsid w:val="00CE1800"/>
    <w:rsid w:val="00CE781C"/>
    <w:rsid w:val="00CF005A"/>
    <w:rsid w:val="00CF115E"/>
    <w:rsid w:val="00CF1EB9"/>
    <w:rsid w:val="00CF274F"/>
    <w:rsid w:val="00CF2EDE"/>
    <w:rsid w:val="00CF31A9"/>
    <w:rsid w:val="00CF41B1"/>
    <w:rsid w:val="00CF4B28"/>
    <w:rsid w:val="00CF4E6B"/>
    <w:rsid w:val="00CF50A6"/>
    <w:rsid w:val="00CF63B6"/>
    <w:rsid w:val="00CF645D"/>
    <w:rsid w:val="00CF655E"/>
    <w:rsid w:val="00CF77FC"/>
    <w:rsid w:val="00D01C87"/>
    <w:rsid w:val="00D020BE"/>
    <w:rsid w:val="00D02240"/>
    <w:rsid w:val="00D02DB4"/>
    <w:rsid w:val="00D02EC0"/>
    <w:rsid w:val="00D03C35"/>
    <w:rsid w:val="00D04882"/>
    <w:rsid w:val="00D04E19"/>
    <w:rsid w:val="00D05428"/>
    <w:rsid w:val="00D063DC"/>
    <w:rsid w:val="00D11B63"/>
    <w:rsid w:val="00D12906"/>
    <w:rsid w:val="00D148B6"/>
    <w:rsid w:val="00D14BA8"/>
    <w:rsid w:val="00D16EA5"/>
    <w:rsid w:val="00D17809"/>
    <w:rsid w:val="00D223BF"/>
    <w:rsid w:val="00D22F5B"/>
    <w:rsid w:val="00D25709"/>
    <w:rsid w:val="00D25F06"/>
    <w:rsid w:val="00D26BAD"/>
    <w:rsid w:val="00D3203B"/>
    <w:rsid w:val="00D32AE3"/>
    <w:rsid w:val="00D33101"/>
    <w:rsid w:val="00D33951"/>
    <w:rsid w:val="00D35A83"/>
    <w:rsid w:val="00D40FE5"/>
    <w:rsid w:val="00D41E99"/>
    <w:rsid w:val="00D422F0"/>
    <w:rsid w:val="00D439D6"/>
    <w:rsid w:val="00D452E9"/>
    <w:rsid w:val="00D4585F"/>
    <w:rsid w:val="00D4769C"/>
    <w:rsid w:val="00D500A3"/>
    <w:rsid w:val="00D50C91"/>
    <w:rsid w:val="00D514BE"/>
    <w:rsid w:val="00D51691"/>
    <w:rsid w:val="00D52D08"/>
    <w:rsid w:val="00D52EFE"/>
    <w:rsid w:val="00D532E2"/>
    <w:rsid w:val="00D558C4"/>
    <w:rsid w:val="00D561A3"/>
    <w:rsid w:val="00D56296"/>
    <w:rsid w:val="00D602A1"/>
    <w:rsid w:val="00D60F0F"/>
    <w:rsid w:val="00D61080"/>
    <w:rsid w:val="00D61493"/>
    <w:rsid w:val="00D61CFB"/>
    <w:rsid w:val="00D632B0"/>
    <w:rsid w:val="00D64286"/>
    <w:rsid w:val="00D64E9F"/>
    <w:rsid w:val="00D666C7"/>
    <w:rsid w:val="00D66BF7"/>
    <w:rsid w:val="00D66CA7"/>
    <w:rsid w:val="00D7078F"/>
    <w:rsid w:val="00D74C1F"/>
    <w:rsid w:val="00D7591D"/>
    <w:rsid w:val="00D75A20"/>
    <w:rsid w:val="00D77168"/>
    <w:rsid w:val="00D80FF2"/>
    <w:rsid w:val="00D8178E"/>
    <w:rsid w:val="00D829EE"/>
    <w:rsid w:val="00D8338F"/>
    <w:rsid w:val="00D83988"/>
    <w:rsid w:val="00D83AA2"/>
    <w:rsid w:val="00D84038"/>
    <w:rsid w:val="00D84531"/>
    <w:rsid w:val="00D84D74"/>
    <w:rsid w:val="00D8569B"/>
    <w:rsid w:val="00D857D1"/>
    <w:rsid w:val="00D8593D"/>
    <w:rsid w:val="00D85B22"/>
    <w:rsid w:val="00D86B4F"/>
    <w:rsid w:val="00D93B17"/>
    <w:rsid w:val="00D97953"/>
    <w:rsid w:val="00D97980"/>
    <w:rsid w:val="00DA20EA"/>
    <w:rsid w:val="00DA375F"/>
    <w:rsid w:val="00DA382A"/>
    <w:rsid w:val="00DA50E7"/>
    <w:rsid w:val="00DA75A1"/>
    <w:rsid w:val="00DB0240"/>
    <w:rsid w:val="00DB0667"/>
    <w:rsid w:val="00DB0C48"/>
    <w:rsid w:val="00DB142C"/>
    <w:rsid w:val="00DB2696"/>
    <w:rsid w:val="00DB471E"/>
    <w:rsid w:val="00DB6977"/>
    <w:rsid w:val="00DB747D"/>
    <w:rsid w:val="00DC14DF"/>
    <w:rsid w:val="00DC2206"/>
    <w:rsid w:val="00DC2A20"/>
    <w:rsid w:val="00DC4124"/>
    <w:rsid w:val="00DC4C7B"/>
    <w:rsid w:val="00DC5E2B"/>
    <w:rsid w:val="00DC62A1"/>
    <w:rsid w:val="00DC6BCC"/>
    <w:rsid w:val="00DD2654"/>
    <w:rsid w:val="00DD364D"/>
    <w:rsid w:val="00DD4BFA"/>
    <w:rsid w:val="00DD6014"/>
    <w:rsid w:val="00DD6C07"/>
    <w:rsid w:val="00DE0F00"/>
    <w:rsid w:val="00DE2593"/>
    <w:rsid w:val="00DE6B8E"/>
    <w:rsid w:val="00DE7370"/>
    <w:rsid w:val="00DF040B"/>
    <w:rsid w:val="00DF0A04"/>
    <w:rsid w:val="00DF1806"/>
    <w:rsid w:val="00DF29F8"/>
    <w:rsid w:val="00DF601C"/>
    <w:rsid w:val="00E02895"/>
    <w:rsid w:val="00E05118"/>
    <w:rsid w:val="00E06EE1"/>
    <w:rsid w:val="00E07A96"/>
    <w:rsid w:val="00E11880"/>
    <w:rsid w:val="00E11B07"/>
    <w:rsid w:val="00E13F93"/>
    <w:rsid w:val="00E16E69"/>
    <w:rsid w:val="00E17108"/>
    <w:rsid w:val="00E17640"/>
    <w:rsid w:val="00E213A4"/>
    <w:rsid w:val="00E216DF"/>
    <w:rsid w:val="00E22364"/>
    <w:rsid w:val="00E240E2"/>
    <w:rsid w:val="00E245CA"/>
    <w:rsid w:val="00E25612"/>
    <w:rsid w:val="00E2608E"/>
    <w:rsid w:val="00E263CF"/>
    <w:rsid w:val="00E265BA"/>
    <w:rsid w:val="00E26890"/>
    <w:rsid w:val="00E2704B"/>
    <w:rsid w:val="00E3149F"/>
    <w:rsid w:val="00E35E19"/>
    <w:rsid w:val="00E36B71"/>
    <w:rsid w:val="00E37BCA"/>
    <w:rsid w:val="00E40349"/>
    <w:rsid w:val="00E41C50"/>
    <w:rsid w:val="00E42285"/>
    <w:rsid w:val="00E426E9"/>
    <w:rsid w:val="00E443D4"/>
    <w:rsid w:val="00E4488F"/>
    <w:rsid w:val="00E45E8B"/>
    <w:rsid w:val="00E467ED"/>
    <w:rsid w:val="00E50ACC"/>
    <w:rsid w:val="00E546F6"/>
    <w:rsid w:val="00E5657F"/>
    <w:rsid w:val="00E57AFC"/>
    <w:rsid w:val="00E6339D"/>
    <w:rsid w:val="00E65BA1"/>
    <w:rsid w:val="00E7028A"/>
    <w:rsid w:val="00E705E6"/>
    <w:rsid w:val="00E7139B"/>
    <w:rsid w:val="00E71418"/>
    <w:rsid w:val="00E71D26"/>
    <w:rsid w:val="00E73360"/>
    <w:rsid w:val="00E756E1"/>
    <w:rsid w:val="00E801B6"/>
    <w:rsid w:val="00E81D97"/>
    <w:rsid w:val="00E82B07"/>
    <w:rsid w:val="00E846C1"/>
    <w:rsid w:val="00E847CF"/>
    <w:rsid w:val="00E84D24"/>
    <w:rsid w:val="00E87B3C"/>
    <w:rsid w:val="00E913F3"/>
    <w:rsid w:val="00E93305"/>
    <w:rsid w:val="00E96592"/>
    <w:rsid w:val="00E96639"/>
    <w:rsid w:val="00E967D4"/>
    <w:rsid w:val="00EA0C86"/>
    <w:rsid w:val="00EA20FD"/>
    <w:rsid w:val="00EA36DB"/>
    <w:rsid w:val="00EA3A8C"/>
    <w:rsid w:val="00EA41C1"/>
    <w:rsid w:val="00EA4F2A"/>
    <w:rsid w:val="00EA51FD"/>
    <w:rsid w:val="00EA52F8"/>
    <w:rsid w:val="00EA5A7F"/>
    <w:rsid w:val="00EA705A"/>
    <w:rsid w:val="00EA7AE5"/>
    <w:rsid w:val="00EB031B"/>
    <w:rsid w:val="00EB267A"/>
    <w:rsid w:val="00EB47BA"/>
    <w:rsid w:val="00EB6045"/>
    <w:rsid w:val="00EB7898"/>
    <w:rsid w:val="00EC02BA"/>
    <w:rsid w:val="00EC08A3"/>
    <w:rsid w:val="00EC4270"/>
    <w:rsid w:val="00EC42B6"/>
    <w:rsid w:val="00EC532A"/>
    <w:rsid w:val="00EC5F7F"/>
    <w:rsid w:val="00EC63B1"/>
    <w:rsid w:val="00EC6700"/>
    <w:rsid w:val="00EC672D"/>
    <w:rsid w:val="00EC70D1"/>
    <w:rsid w:val="00EC7B71"/>
    <w:rsid w:val="00ED0929"/>
    <w:rsid w:val="00ED11C7"/>
    <w:rsid w:val="00ED3267"/>
    <w:rsid w:val="00ED5ADF"/>
    <w:rsid w:val="00ED5C14"/>
    <w:rsid w:val="00ED7116"/>
    <w:rsid w:val="00ED766C"/>
    <w:rsid w:val="00ED7BD9"/>
    <w:rsid w:val="00EE4D23"/>
    <w:rsid w:val="00EE588D"/>
    <w:rsid w:val="00EE61FF"/>
    <w:rsid w:val="00EE6569"/>
    <w:rsid w:val="00EE7F3D"/>
    <w:rsid w:val="00EF0469"/>
    <w:rsid w:val="00EF0705"/>
    <w:rsid w:val="00EF0E88"/>
    <w:rsid w:val="00EF11AA"/>
    <w:rsid w:val="00EF4567"/>
    <w:rsid w:val="00EF5146"/>
    <w:rsid w:val="00EF5FAD"/>
    <w:rsid w:val="00EF6EA8"/>
    <w:rsid w:val="00EF7092"/>
    <w:rsid w:val="00F01F33"/>
    <w:rsid w:val="00F035A5"/>
    <w:rsid w:val="00F03AB7"/>
    <w:rsid w:val="00F03FD9"/>
    <w:rsid w:val="00F047BA"/>
    <w:rsid w:val="00F04B18"/>
    <w:rsid w:val="00F10433"/>
    <w:rsid w:val="00F10BAE"/>
    <w:rsid w:val="00F11F59"/>
    <w:rsid w:val="00F12085"/>
    <w:rsid w:val="00F13FA7"/>
    <w:rsid w:val="00F14C4D"/>
    <w:rsid w:val="00F155BE"/>
    <w:rsid w:val="00F15710"/>
    <w:rsid w:val="00F16C4D"/>
    <w:rsid w:val="00F20FD7"/>
    <w:rsid w:val="00F2114A"/>
    <w:rsid w:val="00F21CFF"/>
    <w:rsid w:val="00F21D8B"/>
    <w:rsid w:val="00F23440"/>
    <w:rsid w:val="00F2554F"/>
    <w:rsid w:val="00F26206"/>
    <w:rsid w:val="00F2775A"/>
    <w:rsid w:val="00F30ED3"/>
    <w:rsid w:val="00F3191F"/>
    <w:rsid w:val="00F3418E"/>
    <w:rsid w:val="00F3524E"/>
    <w:rsid w:val="00F35AED"/>
    <w:rsid w:val="00F36969"/>
    <w:rsid w:val="00F4113D"/>
    <w:rsid w:val="00F4116E"/>
    <w:rsid w:val="00F41BD9"/>
    <w:rsid w:val="00F44DE5"/>
    <w:rsid w:val="00F4663C"/>
    <w:rsid w:val="00F47C77"/>
    <w:rsid w:val="00F51266"/>
    <w:rsid w:val="00F54B9F"/>
    <w:rsid w:val="00F551CF"/>
    <w:rsid w:val="00F55C8B"/>
    <w:rsid w:val="00F560F5"/>
    <w:rsid w:val="00F6158A"/>
    <w:rsid w:val="00F62B08"/>
    <w:rsid w:val="00F631B6"/>
    <w:rsid w:val="00F6348C"/>
    <w:rsid w:val="00F64BB0"/>
    <w:rsid w:val="00F65FBA"/>
    <w:rsid w:val="00F755F8"/>
    <w:rsid w:val="00F76436"/>
    <w:rsid w:val="00F76D5D"/>
    <w:rsid w:val="00F82B21"/>
    <w:rsid w:val="00F82E80"/>
    <w:rsid w:val="00F83D69"/>
    <w:rsid w:val="00F8516C"/>
    <w:rsid w:val="00F853EF"/>
    <w:rsid w:val="00F879A5"/>
    <w:rsid w:val="00F87E69"/>
    <w:rsid w:val="00F9121F"/>
    <w:rsid w:val="00F91980"/>
    <w:rsid w:val="00F92F78"/>
    <w:rsid w:val="00F93AF1"/>
    <w:rsid w:val="00F9592A"/>
    <w:rsid w:val="00F977E2"/>
    <w:rsid w:val="00FA14DD"/>
    <w:rsid w:val="00FA3F4D"/>
    <w:rsid w:val="00FA66A3"/>
    <w:rsid w:val="00FA6A8E"/>
    <w:rsid w:val="00FB023D"/>
    <w:rsid w:val="00FB05BA"/>
    <w:rsid w:val="00FB0A06"/>
    <w:rsid w:val="00FB1CCB"/>
    <w:rsid w:val="00FB22D0"/>
    <w:rsid w:val="00FB3529"/>
    <w:rsid w:val="00FB3E45"/>
    <w:rsid w:val="00FB4EEF"/>
    <w:rsid w:val="00FB5EA2"/>
    <w:rsid w:val="00FB6A65"/>
    <w:rsid w:val="00FB7B4A"/>
    <w:rsid w:val="00FB7D77"/>
    <w:rsid w:val="00FC08ED"/>
    <w:rsid w:val="00FC0BA5"/>
    <w:rsid w:val="00FC0F2A"/>
    <w:rsid w:val="00FC1EA2"/>
    <w:rsid w:val="00FC25A8"/>
    <w:rsid w:val="00FC6C52"/>
    <w:rsid w:val="00FC70C7"/>
    <w:rsid w:val="00FC7498"/>
    <w:rsid w:val="00FC790A"/>
    <w:rsid w:val="00FD0F81"/>
    <w:rsid w:val="00FD187F"/>
    <w:rsid w:val="00FD1A60"/>
    <w:rsid w:val="00FD2482"/>
    <w:rsid w:val="00FD3BBE"/>
    <w:rsid w:val="00FD41B2"/>
    <w:rsid w:val="00FD590D"/>
    <w:rsid w:val="00FD6628"/>
    <w:rsid w:val="00FE14BA"/>
    <w:rsid w:val="00FE35FE"/>
    <w:rsid w:val="00FE41CA"/>
    <w:rsid w:val="00FE46DD"/>
    <w:rsid w:val="00FE48AC"/>
    <w:rsid w:val="00FF0440"/>
    <w:rsid w:val="00FF2118"/>
    <w:rsid w:val="00FF23AF"/>
    <w:rsid w:val="00FF3280"/>
    <w:rsid w:val="00FF3935"/>
    <w:rsid w:val="00FF431D"/>
    <w:rsid w:val="00FF4895"/>
    <w:rsid w:val="00FF57AF"/>
    <w:rsid w:val="00FF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A9EC3A3"/>
  <w15:docId w15:val="{C3B222EE-1E0D-4AEA-9BDC-313830FF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D9"/>
    <w:rPr>
      <w:rFonts w:ascii="Times" w:hAnsi="Times"/>
      <w:sz w:val="20"/>
      <w:szCs w:val="20"/>
    </w:rPr>
  </w:style>
  <w:style w:type="paragraph" w:styleId="Heading1">
    <w:name w:val="heading 1"/>
    <w:basedOn w:val="Normal"/>
    <w:next w:val="Normal"/>
    <w:link w:val="Heading1Char"/>
    <w:uiPriority w:val="9"/>
    <w:qFormat/>
    <w:rsid w:val="00E847CF"/>
    <w:pPr>
      <w:keepNext/>
      <w:keepLines/>
      <w:spacing w:before="48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E847CF"/>
    <w:pPr>
      <w:jc w:val="both"/>
      <w:outlineLvl w:val="1"/>
    </w:pPr>
    <w:rPr>
      <w:b/>
    </w:rPr>
  </w:style>
  <w:style w:type="paragraph" w:styleId="Heading3">
    <w:name w:val="heading 3"/>
    <w:basedOn w:val="Normal"/>
    <w:next w:val="Normal"/>
    <w:link w:val="Heading3Char"/>
    <w:uiPriority w:val="9"/>
    <w:unhideWhenUsed/>
    <w:qFormat/>
    <w:rsid w:val="00E847CF"/>
    <w:pPr>
      <w:ind w:firstLine="720"/>
      <w:jc w:val="both"/>
      <w:outlineLvl w:val="2"/>
    </w:pPr>
    <w:rPr>
      <w:b/>
    </w:rPr>
  </w:style>
  <w:style w:type="paragraph" w:styleId="Heading4">
    <w:name w:val="heading 4"/>
    <w:basedOn w:val="Normal"/>
    <w:next w:val="Normal"/>
    <w:link w:val="Heading4Char"/>
    <w:uiPriority w:val="9"/>
    <w:unhideWhenUsed/>
    <w:qFormat/>
    <w:rsid w:val="00E847CF"/>
    <w:pPr>
      <w:ind w:firstLine="720"/>
      <w:jc w:val="both"/>
      <w:outlineLvl w:val="3"/>
    </w:pPr>
    <w:rPr>
      <w:b/>
    </w:rPr>
  </w:style>
  <w:style w:type="character" w:default="1" w:styleId="DefaultParagraphFont">
    <w:name w:val="Default Paragraph Font"/>
    <w:uiPriority w:val="1"/>
    <w:semiHidden/>
    <w:unhideWhenUsed/>
    <w:rsid w:val="00ED7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BD9"/>
  </w:style>
  <w:style w:type="paragraph" w:customStyle="1" w:styleId="Journalfont">
    <w:name w:val="_Journal font"/>
    <w:link w:val="JournalfontChar"/>
    <w:qFormat/>
    <w:rsid w:val="00ED7BD9"/>
    <w:pPr>
      <w:widowControl w:val="0"/>
      <w:spacing w:line="240" w:lineRule="exact"/>
      <w:jc w:val="both"/>
    </w:pPr>
    <w:rPr>
      <w:rFonts w:ascii="Times" w:hAnsi="Times"/>
      <w:noProof/>
      <w:sz w:val="21"/>
      <w:szCs w:val="20"/>
    </w:rPr>
  </w:style>
  <w:style w:type="paragraph" w:customStyle="1" w:styleId="Document">
    <w:name w:val="_Document"/>
    <w:basedOn w:val="Journalfont"/>
    <w:link w:val="DocumentChar"/>
    <w:qFormat/>
    <w:rsid w:val="00ED7BD9"/>
    <w:pPr>
      <w:widowControl/>
      <w:suppressLineNumbers/>
      <w:tabs>
        <w:tab w:val="left" w:pos="0"/>
        <w:tab w:val="left" w:pos="220"/>
        <w:tab w:val="left" w:pos="620"/>
      </w:tabs>
      <w:ind w:firstLine="220"/>
    </w:pPr>
  </w:style>
  <w:style w:type="paragraph" w:styleId="Header">
    <w:name w:val="header"/>
    <w:basedOn w:val="Normal"/>
    <w:link w:val="HeaderChar"/>
    <w:rsid w:val="00ED7BD9"/>
    <w:pPr>
      <w:tabs>
        <w:tab w:val="center" w:pos="4320"/>
        <w:tab w:val="right" w:pos="8640"/>
      </w:tabs>
    </w:pPr>
  </w:style>
  <w:style w:type="paragraph" w:styleId="Footer">
    <w:name w:val="footer"/>
    <w:basedOn w:val="Normal"/>
    <w:link w:val="FooterChar"/>
    <w:rsid w:val="00ED7BD9"/>
    <w:pPr>
      <w:tabs>
        <w:tab w:val="center" w:pos="4320"/>
        <w:tab w:val="right" w:pos="8640"/>
      </w:tabs>
    </w:pPr>
  </w:style>
  <w:style w:type="character" w:styleId="PageNumber">
    <w:name w:val="page number"/>
    <w:basedOn w:val="DefaultParagraphFont"/>
    <w:rsid w:val="00ED7BD9"/>
    <w:rPr>
      <w:rFonts w:ascii="Times" w:hAnsi="Times"/>
    </w:rPr>
  </w:style>
  <w:style w:type="paragraph" w:customStyle="1" w:styleId="FootNote">
    <w:name w:val="_FootNote"/>
    <w:basedOn w:val="Document"/>
    <w:qFormat/>
    <w:rsid w:val="00ED7BD9"/>
    <w:pPr>
      <w:tabs>
        <w:tab w:val="clear" w:pos="0"/>
        <w:tab w:val="clear" w:pos="220"/>
        <w:tab w:val="clear" w:pos="620"/>
        <w:tab w:val="left" w:pos="180"/>
        <w:tab w:val="left" w:pos="400"/>
      </w:tabs>
      <w:spacing w:before="20" w:line="220" w:lineRule="exact"/>
      <w:ind w:firstLine="0"/>
    </w:pPr>
    <w:rPr>
      <w:sz w:val="18"/>
    </w:rPr>
  </w:style>
  <w:style w:type="paragraph" w:customStyle="1" w:styleId="FootNotePara">
    <w:name w:val="_FootNotePara"/>
    <w:basedOn w:val="FootNote"/>
    <w:qFormat/>
    <w:rsid w:val="00ED7BD9"/>
    <w:pPr>
      <w:ind w:firstLine="180"/>
    </w:pPr>
  </w:style>
  <w:style w:type="character" w:customStyle="1" w:styleId="NoterefInText">
    <w:name w:val="_NoterefInText"/>
    <w:basedOn w:val="DefaultParagraphFont"/>
    <w:qFormat/>
    <w:rsid w:val="00ED7BD9"/>
    <w:rPr>
      <w:rFonts w:ascii="Times" w:hAnsi="Times"/>
      <w:position w:val="6"/>
      <w:sz w:val="14"/>
      <w:vertAlign w:val="baseline"/>
    </w:rPr>
  </w:style>
  <w:style w:type="character" w:customStyle="1" w:styleId="NoterefInNote">
    <w:name w:val="_NoterefInNote"/>
    <w:basedOn w:val="DefaultParagraphFont"/>
    <w:qFormat/>
    <w:rsid w:val="00ED7BD9"/>
    <w:rPr>
      <w:rFonts w:ascii="Times" w:hAnsi="Times"/>
      <w:position w:val="6"/>
      <w:sz w:val="12"/>
      <w:vertAlign w:val="baseline"/>
    </w:rPr>
  </w:style>
  <w:style w:type="paragraph" w:customStyle="1" w:styleId="1StQuoteFN">
    <w:name w:val="_1StQuoteFN"/>
    <w:basedOn w:val="FootNote"/>
    <w:next w:val="FootNote"/>
    <w:qFormat/>
    <w:rsid w:val="00ED7BD9"/>
    <w:pPr>
      <w:tabs>
        <w:tab w:val="clear" w:pos="400"/>
      </w:tabs>
      <w:spacing w:line="200" w:lineRule="exact"/>
      <w:ind w:left="180" w:right="180"/>
    </w:pPr>
  </w:style>
  <w:style w:type="paragraph" w:customStyle="1" w:styleId="2NdQuoteFN">
    <w:name w:val="_2NdQuoteFN"/>
    <w:basedOn w:val="FootNote"/>
    <w:next w:val="FootNote"/>
    <w:qFormat/>
    <w:rsid w:val="00ED7BD9"/>
    <w:pPr>
      <w:spacing w:line="200" w:lineRule="exact"/>
      <w:ind w:left="360" w:right="180"/>
    </w:pPr>
  </w:style>
  <w:style w:type="paragraph" w:customStyle="1" w:styleId="3RdQuoteFN">
    <w:name w:val="_3RdQuoteFN"/>
    <w:basedOn w:val="FootNote"/>
    <w:next w:val="FootNote"/>
    <w:qFormat/>
    <w:rsid w:val="00ED7BD9"/>
    <w:pPr>
      <w:spacing w:line="200" w:lineRule="exact"/>
      <w:ind w:left="540" w:right="180"/>
    </w:pPr>
  </w:style>
  <w:style w:type="paragraph" w:customStyle="1" w:styleId="4ThQuoteFN">
    <w:name w:val="_4ThQuoteFN"/>
    <w:basedOn w:val="FootNote"/>
    <w:next w:val="FootNote"/>
    <w:qFormat/>
    <w:rsid w:val="00ED7BD9"/>
    <w:pPr>
      <w:spacing w:line="200" w:lineRule="exact"/>
      <w:ind w:left="720" w:right="180"/>
    </w:pPr>
  </w:style>
  <w:style w:type="paragraph" w:customStyle="1" w:styleId="1StQuoteTXT">
    <w:name w:val="_1StQuoteTXT"/>
    <w:basedOn w:val="Document"/>
    <w:next w:val="Document"/>
    <w:qFormat/>
    <w:rsid w:val="00ED7BD9"/>
    <w:pPr>
      <w:spacing w:before="60" w:after="60"/>
      <w:ind w:left="220" w:right="220" w:firstLine="0"/>
    </w:pPr>
  </w:style>
  <w:style w:type="paragraph" w:customStyle="1" w:styleId="2NdQuoteTXT">
    <w:name w:val="_2NdQuoteTXT"/>
    <w:basedOn w:val="Document"/>
    <w:next w:val="Document"/>
    <w:qFormat/>
    <w:rsid w:val="00ED7BD9"/>
    <w:pPr>
      <w:spacing w:before="60" w:after="60"/>
      <w:ind w:left="440" w:right="220" w:firstLine="0"/>
    </w:pPr>
  </w:style>
  <w:style w:type="paragraph" w:customStyle="1" w:styleId="3RdQuoteTXT">
    <w:name w:val="_3RdQuoteTXT"/>
    <w:basedOn w:val="Document"/>
    <w:next w:val="Document"/>
    <w:qFormat/>
    <w:rsid w:val="00ED7BD9"/>
    <w:pPr>
      <w:spacing w:before="60" w:after="60"/>
      <w:ind w:left="660" w:right="220" w:firstLine="0"/>
    </w:pPr>
  </w:style>
  <w:style w:type="paragraph" w:customStyle="1" w:styleId="4ThQuoteTXT">
    <w:name w:val="_4ThQuoteTXT"/>
    <w:basedOn w:val="Document"/>
    <w:next w:val="Document"/>
    <w:qFormat/>
    <w:rsid w:val="00ED7BD9"/>
    <w:pPr>
      <w:spacing w:before="60" w:after="60"/>
      <w:ind w:left="880" w:right="220" w:firstLine="0"/>
    </w:pPr>
  </w:style>
  <w:style w:type="paragraph" w:customStyle="1" w:styleId="Document-NoPara">
    <w:name w:val="_Document-NoPara"/>
    <w:basedOn w:val="Document"/>
    <w:qFormat/>
    <w:rsid w:val="00ED7BD9"/>
    <w:pPr>
      <w:ind w:firstLine="0"/>
    </w:pPr>
  </w:style>
  <w:style w:type="paragraph" w:customStyle="1" w:styleId="Toc1">
    <w:name w:val="_Toc1"/>
    <w:basedOn w:val="Document"/>
    <w:next w:val="Document"/>
    <w:qFormat/>
    <w:rsid w:val="00ED7BD9"/>
    <w:pPr>
      <w:tabs>
        <w:tab w:val="clear" w:pos="0"/>
        <w:tab w:val="clear" w:pos="220"/>
        <w:tab w:val="clear" w:pos="620"/>
        <w:tab w:val="right" w:pos="440"/>
        <w:tab w:val="left" w:pos="600"/>
        <w:tab w:val="right" w:leader="dot" w:pos="6720"/>
      </w:tabs>
      <w:ind w:left="600" w:hanging="600"/>
      <w:jc w:val="left"/>
    </w:pPr>
    <w:rPr>
      <w:smallCaps/>
    </w:rPr>
  </w:style>
  <w:style w:type="paragraph" w:customStyle="1" w:styleId="Toc2">
    <w:name w:val="_Toc2"/>
    <w:basedOn w:val="Document"/>
    <w:next w:val="Document"/>
    <w:qFormat/>
    <w:rsid w:val="00ED7BD9"/>
    <w:pPr>
      <w:tabs>
        <w:tab w:val="clear" w:pos="0"/>
        <w:tab w:val="clear" w:pos="220"/>
        <w:tab w:val="clear" w:pos="620"/>
        <w:tab w:val="left" w:pos="400"/>
        <w:tab w:val="right" w:leader="dot" w:pos="6720"/>
      </w:tabs>
      <w:ind w:left="1000" w:hanging="400"/>
      <w:jc w:val="left"/>
    </w:pPr>
    <w:rPr>
      <w:i/>
    </w:rPr>
  </w:style>
  <w:style w:type="paragraph" w:customStyle="1" w:styleId="Toc3">
    <w:name w:val="_Toc3"/>
    <w:basedOn w:val="Document"/>
    <w:next w:val="Document"/>
    <w:qFormat/>
    <w:rsid w:val="00ED7BD9"/>
    <w:pPr>
      <w:tabs>
        <w:tab w:val="clear" w:pos="0"/>
        <w:tab w:val="clear" w:pos="220"/>
        <w:tab w:val="clear" w:pos="620"/>
        <w:tab w:val="left" w:pos="320"/>
        <w:tab w:val="right" w:leader="dot" w:pos="6720"/>
      </w:tabs>
      <w:ind w:left="1320" w:hanging="320"/>
      <w:jc w:val="left"/>
    </w:pPr>
  </w:style>
  <w:style w:type="paragraph" w:customStyle="1" w:styleId="Toc4">
    <w:name w:val="_Toc4"/>
    <w:basedOn w:val="Document"/>
    <w:next w:val="Document"/>
    <w:qFormat/>
    <w:rsid w:val="00ED7BD9"/>
    <w:pPr>
      <w:tabs>
        <w:tab w:val="clear" w:pos="0"/>
        <w:tab w:val="clear" w:pos="220"/>
        <w:tab w:val="clear" w:pos="620"/>
        <w:tab w:val="left" w:pos="360"/>
        <w:tab w:val="right" w:leader="dot" w:pos="6720"/>
      </w:tabs>
      <w:ind w:left="1680" w:hanging="360"/>
      <w:jc w:val="left"/>
    </w:pPr>
    <w:rPr>
      <w:i/>
    </w:rPr>
  </w:style>
  <w:style w:type="paragraph" w:customStyle="1" w:styleId="Toc5">
    <w:name w:val="_Toc5"/>
    <w:basedOn w:val="Document"/>
    <w:next w:val="Document"/>
    <w:qFormat/>
    <w:rsid w:val="00ED7BD9"/>
    <w:pPr>
      <w:tabs>
        <w:tab w:val="clear" w:pos="0"/>
        <w:tab w:val="clear" w:pos="220"/>
        <w:tab w:val="clear" w:pos="620"/>
        <w:tab w:val="right" w:pos="360"/>
        <w:tab w:val="right" w:leader="dot" w:pos="6720"/>
      </w:tabs>
      <w:ind w:left="2040" w:hanging="360"/>
      <w:jc w:val="left"/>
    </w:pPr>
  </w:style>
  <w:style w:type="paragraph" w:customStyle="1" w:styleId="SectionHead">
    <w:name w:val="_SectionHead"/>
    <w:basedOn w:val="Journalfont"/>
    <w:next w:val="Document"/>
    <w:rsid w:val="00ED7BD9"/>
    <w:pPr>
      <w:keepNext/>
      <w:suppressLineNumbers/>
      <w:suppressAutoHyphens/>
      <w:spacing w:after="400" w:line="360" w:lineRule="exact"/>
      <w:jc w:val="center"/>
    </w:pPr>
    <w:rPr>
      <w:b/>
      <w:caps/>
      <w:sz w:val="36"/>
    </w:rPr>
  </w:style>
  <w:style w:type="paragraph" w:customStyle="1" w:styleId="Head1-Articles">
    <w:name w:val="_Head1-Articles"/>
    <w:basedOn w:val="Journalfont"/>
    <w:next w:val="Document"/>
    <w:qFormat/>
    <w:rsid w:val="00ED7BD9"/>
    <w:pPr>
      <w:keepNext/>
      <w:suppressLineNumbers/>
      <w:suppressAutoHyphens/>
      <w:spacing w:after="280" w:line="280" w:lineRule="exact"/>
      <w:jc w:val="center"/>
    </w:pPr>
    <w:rPr>
      <w:b/>
      <w:caps/>
      <w:sz w:val="24"/>
    </w:rPr>
  </w:style>
  <w:style w:type="paragraph" w:customStyle="1" w:styleId="Head3-BookReviews">
    <w:name w:val="_Head3-BookReviews"/>
    <w:basedOn w:val="Journalfont"/>
    <w:next w:val="Document"/>
    <w:qFormat/>
    <w:rsid w:val="00ED7BD9"/>
    <w:pPr>
      <w:keepNext/>
      <w:suppressLineNumbers/>
      <w:spacing w:after="240"/>
      <w:jc w:val="center"/>
    </w:pPr>
    <w:rPr>
      <w:smallCaps/>
    </w:rPr>
  </w:style>
  <w:style w:type="paragraph" w:customStyle="1" w:styleId="AuthorName1-Articles">
    <w:name w:val="_AuthorName1-Articles"/>
    <w:basedOn w:val="Journalfont"/>
    <w:next w:val="Document"/>
    <w:qFormat/>
    <w:rsid w:val="00ED7BD9"/>
    <w:pPr>
      <w:keepNext/>
      <w:suppressLineNumbers/>
      <w:suppressAutoHyphens/>
      <w:spacing w:after="720"/>
      <w:jc w:val="center"/>
    </w:pPr>
    <w:rPr>
      <w:b/>
      <w:smallCaps/>
    </w:rPr>
  </w:style>
  <w:style w:type="paragraph" w:customStyle="1" w:styleId="AuthorName2-Students">
    <w:name w:val="_AuthorName2-Students"/>
    <w:basedOn w:val="Journalfont"/>
    <w:next w:val="Document"/>
    <w:qFormat/>
    <w:rsid w:val="00ED7BD9"/>
    <w:pPr>
      <w:keepNext/>
      <w:suppressLineNumbers/>
      <w:suppressAutoHyphens/>
      <w:spacing w:after="720"/>
      <w:jc w:val="center"/>
    </w:pPr>
    <w:rPr>
      <w:i/>
    </w:rPr>
  </w:style>
  <w:style w:type="paragraph" w:customStyle="1" w:styleId="SubHead1">
    <w:name w:val="_SubHead1"/>
    <w:basedOn w:val="Journalfont"/>
    <w:next w:val="Document"/>
    <w:qFormat/>
    <w:rsid w:val="00ED7BD9"/>
    <w:pPr>
      <w:keepNext/>
      <w:suppressLineNumbers/>
      <w:tabs>
        <w:tab w:val="left" w:pos="420"/>
      </w:tabs>
      <w:suppressAutoHyphens/>
      <w:spacing w:before="240" w:after="80"/>
      <w:jc w:val="center"/>
    </w:pPr>
    <w:rPr>
      <w:smallCaps/>
    </w:rPr>
  </w:style>
  <w:style w:type="paragraph" w:customStyle="1" w:styleId="SubHead2">
    <w:name w:val="_SubHead2"/>
    <w:basedOn w:val="Journalfont"/>
    <w:next w:val="Document"/>
    <w:qFormat/>
    <w:rsid w:val="00ED7BD9"/>
    <w:pPr>
      <w:keepNext/>
      <w:suppressLineNumbers/>
      <w:tabs>
        <w:tab w:val="left" w:pos="420"/>
      </w:tabs>
      <w:suppressAutoHyphens/>
      <w:spacing w:before="220" w:after="80"/>
      <w:ind w:left="420" w:hanging="420"/>
      <w:jc w:val="left"/>
    </w:pPr>
    <w:rPr>
      <w:i/>
    </w:rPr>
  </w:style>
  <w:style w:type="paragraph" w:customStyle="1" w:styleId="SubHead3">
    <w:name w:val="_SubHead3"/>
    <w:basedOn w:val="Journalfont"/>
    <w:next w:val="Document"/>
    <w:qFormat/>
    <w:rsid w:val="00ED7BD9"/>
    <w:pPr>
      <w:keepNext/>
      <w:suppressLineNumbers/>
      <w:tabs>
        <w:tab w:val="left" w:pos="640"/>
      </w:tabs>
      <w:suppressAutoHyphens/>
      <w:spacing w:before="200" w:after="80"/>
      <w:ind w:left="860" w:hanging="640"/>
      <w:jc w:val="left"/>
    </w:pPr>
  </w:style>
  <w:style w:type="paragraph" w:customStyle="1" w:styleId="SubHead4">
    <w:name w:val="_SubHead4"/>
    <w:basedOn w:val="Journalfont"/>
    <w:next w:val="Document"/>
    <w:qFormat/>
    <w:rsid w:val="00ED7BD9"/>
    <w:pPr>
      <w:keepNext/>
      <w:suppressLineNumbers/>
      <w:tabs>
        <w:tab w:val="left" w:pos="860"/>
      </w:tabs>
      <w:suppressAutoHyphens/>
      <w:spacing w:before="200" w:after="80"/>
      <w:ind w:left="1300" w:hanging="860"/>
      <w:jc w:val="left"/>
    </w:pPr>
    <w:rPr>
      <w:i/>
    </w:rPr>
  </w:style>
  <w:style w:type="paragraph" w:customStyle="1" w:styleId="SubHead5">
    <w:name w:val="_SubHead5"/>
    <w:basedOn w:val="Journalfont"/>
    <w:next w:val="Document"/>
    <w:qFormat/>
    <w:rsid w:val="00ED7BD9"/>
    <w:pPr>
      <w:keepNext/>
      <w:suppressLineNumbers/>
      <w:tabs>
        <w:tab w:val="left" w:pos="1080"/>
      </w:tabs>
      <w:suppressAutoHyphens/>
      <w:spacing w:before="200" w:after="80"/>
      <w:ind w:left="1740" w:hanging="1080"/>
      <w:jc w:val="left"/>
    </w:pPr>
  </w:style>
  <w:style w:type="paragraph" w:customStyle="1" w:styleId="SubHead6">
    <w:name w:val="_SubHead6"/>
    <w:basedOn w:val="Journalfont"/>
    <w:next w:val="Document"/>
    <w:qFormat/>
    <w:rsid w:val="00ED7BD9"/>
    <w:pPr>
      <w:keepNext/>
      <w:suppressLineNumbers/>
      <w:tabs>
        <w:tab w:val="left" w:pos="840"/>
      </w:tabs>
      <w:suppressAutoHyphens/>
      <w:spacing w:before="240"/>
      <w:ind w:firstLine="420"/>
    </w:pPr>
  </w:style>
  <w:style w:type="paragraph" w:customStyle="1" w:styleId="1stLineQuoteFn">
    <w:name w:val="_1stLineQuoteFn"/>
    <w:basedOn w:val="FootNote"/>
    <w:next w:val="FootNote"/>
    <w:qFormat/>
    <w:rsid w:val="00ED7BD9"/>
    <w:pPr>
      <w:ind w:left="180" w:right="180" w:hanging="180"/>
    </w:pPr>
  </w:style>
  <w:style w:type="character" w:customStyle="1" w:styleId="EquationCaption">
    <w:name w:val="_Equation Caption"/>
    <w:rsid w:val="00ED7BD9"/>
    <w:rPr>
      <w:rFonts w:ascii="Times" w:hAnsi="Times"/>
    </w:rPr>
  </w:style>
  <w:style w:type="paragraph" w:styleId="Caption">
    <w:name w:val="caption"/>
    <w:basedOn w:val="Normal"/>
    <w:next w:val="Normal"/>
    <w:rsid w:val="00ED7BD9"/>
    <w:rPr>
      <w:sz w:val="24"/>
    </w:rPr>
  </w:style>
  <w:style w:type="character" w:styleId="EndnoteReference">
    <w:name w:val="endnote reference"/>
    <w:basedOn w:val="DefaultParagraphFont"/>
    <w:semiHidden/>
    <w:rsid w:val="00ED7BD9"/>
    <w:rPr>
      <w:rFonts w:ascii="Times" w:hAnsi="Times"/>
      <w:vertAlign w:val="superscript"/>
    </w:rPr>
  </w:style>
  <w:style w:type="paragraph" w:styleId="EndnoteText">
    <w:name w:val="endnote text"/>
    <w:basedOn w:val="Normal"/>
    <w:link w:val="EndnoteTextChar"/>
    <w:semiHidden/>
    <w:rsid w:val="00ED7BD9"/>
    <w:rPr>
      <w:sz w:val="24"/>
    </w:rPr>
  </w:style>
  <w:style w:type="character" w:styleId="FootnoteReference">
    <w:name w:val="footnote reference"/>
    <w:basedOn w:val="DefaultParagraphFont"/>
    <w:rsid w:val="00ED7BD9"/>
    <w:rPr>
      <w:rFonts w:ascii="Times" w:hAnsi="Times"/>
      <w:vertAlign w:val="superscript"/>
    </w:rPr>
  </w:style>
  <w:style w:type="paragraph" w:styleId="FootnoteText">
    <w:name w:val="footnote text"/>
    <w:basedOn w:val="Normal"/>
    <w:link w:val="FootnoteTextChar"/>
    <w:rsid w:val="00ED7BD9"/>
    <w:rPr>
      <w:sz w:val="24"/>
    </w:rPr>
  </w:style>
  <w:style w:type="paragraph" w:styleId="Index1">
    <w:name w:val="index 1"/>
    <w:basedOn w:val="Normal"/>
    <w:next w:val="Normal"/>
    <w:semiHidden/>
    <w:rsid w:val="00ED7BD9"/>
    <w:pPr>
      <w:tabs>
        <w:tab w:val="right" w:leader="dot" w:pos="9360"/>
      </w:tabs>
      <w:suppressAutoHyphens/>
      <w:ind w:left="1440" w:right="720" w:hanging="1440"/>
    </w:pPr>
    <w:rPr>
      <w:sz w:val="24"/>
    </w:rPr>
  </w:style>
  <w:style w:type="paragraph" w:styleId="Index2">
    <w:name w:val="index 2"/>
    <w:basedOn w:val="Normal"/>
    <w:next w:val="Normal"/>
    <w:semiHidden/>
    <w:rsid w:val="00ED7BD9"/>
    <w:pPr>
      <w:tabs>
        <w:tab w:val="right" w:leader="dot" w:pos="9360"/>
      </w:tabs>
      <w:suppressAutoHyphens/>
      <w:ind w:left="1440" w:right="720" w:hanging="720"/>
    </w:pPr>
    <w:rPr>
      <w:sz w:val="24"/>
    </w:rPr>
  </w:style>
  <w:style w:type="paragraph" w:styleId="TOAHeading">
    <w:name w:val="toa heading"/>
    <w:basedOn w:val="Normal"/>
    <w:next w:val="Normal"/>
    <w:semiHidden/>
    <w:rsid w:val="00ED7BD9"/>
    <w:pPr>
      <w:tabs>
        <w:tab w:val="right" w:pos="9360"/>
      </w:tabs>
      <w:suppressAutoHyphens/>
    </w:pPr>
    <w:rPr>
      <w:sz w:val="24"/>
    </w:rPr>
  </w:style>
  <w:style w:type="paragraph" w:styleId="TOC10">
    <w:name w:val="toc 1"/>
    <w:basedOn w:val="Toc1"/>
    <w:next w:val="Journalfont"/>
    <w:autoRedefine/>
    <w:uiPriority w:val="39"/>
    <w:rsid w:val="00ED7BD9"/>
    <w:pPr>
      <w:tabs>
        <w:tab w:val="right" w:leader="dot" w:pos="9360"/>
      </w:tabs>
      <w:suppressAutoHyphens/>
    </w:pPr>
  </w:style>
  <w:style w:type="paragraph" w:styleId="TOC20">
    <w:name w:val="toc 2"/>
    <w:basedOn w:val="Toc2"/>
    <w:next w:val="Journalfont"/>
    <w:autoRedefine/>
    <w:uiPriority w:val="39"/>
    <w:rsid w:val="00ED7BD9"/>
    <w:pPr>
      <w:tabs>
        <w:tab w:val="left" w:pos="1320"/>
      </w:tabs>
      <w:suppressAutoHyphens/>
    </w:pPr>
  </w:style>
  <w:style w:type="paragraph" w:styleId="TOC30">
    <w:name w:val="toc 3"/>
    <w:basedOn w:val="Toc3"/>
    <w:next w:val="Journalfont"/>
    <w:autoRedefine/>
    <w:uiPriority w:val="39"/>
    <w:rsid w:val="00ED7BD9"/>
    <w:pPr>
      <w:tabs>
        <w:tab w:val="left" w:pos="2160"/>
      </w:tabs>
      <w:suppressAutoHyphens/>
    </w:pPr>
  </w:style>
  <w:style w:type="paragraph" w:styleId="TOC40">
    <w:name w:val="toc 4"/>
    <w:basedOn w:val="Toc4"/>
    <w:next w:val="Journalfont"/>
    <w:autoRedefine/>
    <w:uiPriority w:val="39"/>
    <w:rsid w:val="00ED7BD9"/>
    <w:pPr>
      <w:tabs>
        <w:tab w:val="left" w:pos="2040"/>
      </w:tabs>
      <w:suppressAutoHyphens/>
    </w:pPr>
  </w:style>
  <w:style w:type="paragraph" w:styleId="TOC50">
    <w:name w:val="toc 5"/>
    <w:basedOn w:val="Toc5"/>
    <w:next w:val="Journalfont"/>
    <w:autoRedefine/>
    <w:uiPriority w:val="39"/>
    <w:rsid w:val="00ED7BD9"/>
    <w:pPr>
      <w:tabs>
        <w:tab w:val="left" w:pos="3600"/>
      </w:tabs>
      <w:suppressAutoHyphens/>
    </w:pPr>
  </w:style>
  <w:style w:type="paragraph" w:styleId="TOC6">
    <w:name w:val="toc 6"/>
    <w:basedOn w:val="Normal"/>
    <w:next w:val="Normal"/>
    <w:autoRedefine/>
    <w:semiHidden/>
    <w:rsid w:val="00ED7BD9"/>
    <w:pPr>
      <w:tabs>
        <w:tab w:val="right" w:pos="9360"/>
      </w:tabs>
      <w:suppressAutoHyphens/>
      <w:ind w:left="720" w:hanging="720"/>
    </w:pPr>
    <w:rPr>
      <w:sz w:val="24"/>
    </w:rPr>
  </w:style>
  <w:style w:type="paragraph" w:styleId="TOC7">
    <w:name w:val="toc 7"/>
    <w:basedOn w:val="Normal"/>
    <w:next w:val="Normal"/>
    <w:semiHidden/>
    <w:rsid w:val="00ED7BD9"/>
    <w:pPr>
      <w:suppressAutoHyphens/>
      <w:ind w:left="720" w:hanging="720"/>
    </w:pPr>
    <w:rPr>
      <w:sz w:val="24"/>
    </w:rPr>
  </w:style>
  <w:style w:type="paragraph" w:styleId="TOC8">
    <w:name w:val="toc 8"/>
    <w:basedOn w:val="Normal"/>
    <w:next w:val="Normal"/>
    <w:semiHidden/>
    <w:rsid w:val="00ED7BD9"/>
    <w:pPr>
      <w:tabs>
        <w:tab w:val="right" w:pos="9360"/>
      </w:tabs>
      <w:suppressAutoHyphens/>
      <w:ind w:left="720" w:hanging="720"/>
    </w:pPr>
    <w:rPr>
      <w:sz w:val="24"/>
    </w:rPr>
  </w:style>
  <w:style w:type="paragraph" w:styleId="TOC9">
    <w:name w:val="toc 9"/>
    <w:basedOn w:val="Normal"/>
    <w:next w:val="Normal"/>
    <w:semiHidden/>
    <w:rsid w:val="00ED7BD9"/>
    <w:pPr>
      <w:tabs>
        <w:tab w:val="right" w:leader="dot" w:pos="9360"/>
      </w:tabs>
      <w:suppressAutoHyphens/>
      <w:ind w:left="720" w:hanging="720"/>
    </w:pPr>
    <w:rPr>
      <w:sz w:val="24"/>
    </w:rPr>
  </w:style>
  <w:style w:type="character" w:customStyle="1" w:styleId="JournalfontChar">
    <w:name w:val="_Journal font Char"/>
    <w:basedOn w:val="DefaultParagraphFont"/>
    <w:link w:val="Journalfont"/>
    <w:rsid w:val="00ED7BD9"/>
    <w:rPr>
      <w:rFonts w:ascii="Times" w:hAnsi="Times"/>
      <w:noProof/>
      <w:sz w:val="21"/>
      <w:szCs w:val="20"/>
    </w:rPr>
  </w:style>
  <w:style w:type="character" w:customStyle="1" w:styleId="DocumentChar">
    <w:name w:val="_Document Char"/>
    <w:basedOn w:val="JournalfontChar"/>
    <w:link w:val="Document"/>
    <w:rsid w:val="00ED7BD9"/>
    <w:rPr>
      <w:rFonts w:ascii="Times" w:hAnsi="Times"/>
      <w:noProof/>
      <w:sz w:val="21"/>
      <w:szCs w:val="20"/>
    </w:rPr>
  </w:style>
  <w:style w:type="paragraph" w:styleId="BalloonText">
    <w:name w:val="Balloon Text"/>
    <w:basedOn w:val="Normal"/>
    <w:link w:val="BalloonTextChar"/>
    <w:rsid w:val="00ED7BD9"/>
    <w:rPr>
      <w:rFonts w:ascii="Tahoma" w:hAnsi="Tahoma" w:cs="Tahoma"/>
      <w:sz w:val="16"/>
      <w:szCs w:val="16"/>
    </w:rPr>
  </w:style>
  <w:style w:type="character" w:customStyle="1" w:styleId="BalloonTextChar">
    <w:name w:val="Balloon Text Char"/>
    <w:basedOn w:val="DefaultParagraphFont"/>
    <w:link w:val="BalloonText"/>
    <w:rsid w:val="00ED7BD9"/>
    <w:rPr>
      <w:rFonts w:ascii="Tahoma" w:hAnsi="Tahoma" w:cs="Tahoma"/>
      <w:sz w:val="16"/>
      <w:szCs w:val="16"/>
    </w:rPr>
  </w:style>
  <w:style w:type="paragraph" w:customStyle="1" w:styleId="Head2-Notes">
    <w:name w:val="_Head2-Notes"/>
    <w:aliases w:val="Comments"/>
    <w:basedOn w:val="Head1-Articles"/>
    <w:qFormat/>
    <w:rsid w:val="00ED7BD9"/>
  </w:style>
  <w:style w:type="paragraph" w:customStyle="1" w:styleId="Toc60">
    <w:name w:val="_Toc6"/>
    <w:basedOn w:val="Toc5"/>
    <w:qFormat/>
    <w:rsid w:val="00ED7BD9"/>
    <w:pPr>
      <w:ind w:left="2400"/>
    </w:pPr>
  </w:style>
  <w:style w:type="paragraph" w:customStyle="1" w:styleId="GraphicSpacing">
    <w:name w:val="_GraphicSpacing"/>
    <w:basedOn w:val="Document-NoPara"/>
    <w:qFormat/>
    <w:rsid w:val="00ED7BD9"/>
    <w:pPr>
      <w:spacing w:line="240" w:lineRule="auto"/>
    </w:pPr>
  </w:style>
  <w:style w:type="paragraph" w:customStyle="1" w:styleId="BulletListFN">
    <w:name w:val="_BulletListFN"/>
    <w:basedOn w:val="1StQuoteFN"/>
    <w:qFormat/>
    <w:rsid w:val="00ED7BD9"/>
    <w:pPr>
      <w:numPr>
        <w:numId w:val="12"/>
      </w:numPr>
      <w:ind w:left="540"/>
    </w:pPr>
  </w:style>
  <w:style w:type="paragraph" w:customStyle="1" w:styleId="BulletListTXT">
    <w:name w:val="_BulletListTXT"/>
    <w:basedOn w:val="1StQuoteTXT"/>
    <w:qFormat/>
    <w:rsid w:val="00ED7BD9"/>
    <w:pPr>
      <w:numPr>
        <w:numId w:val="13"/>
      </w:numPr>
      <w:ind w:left="580"/>
    </w:pPr>
  </w:style>
  <w:style w:type="character" w:customStyle="1" w:styleId="FootnoteTextChar">
    <w:name w:val="Footnote Text Char"/>
    <w:basedOn w:val="DefaultParagraphFont"/>
    <w:link w:val="FootnoteText"/>
    <w:rsid w:val="00764A28"/>
    <w:rPr>
      <w:rFonts w:ascii="Times" w:hAnsi="Times"/>
      <w:szCs w:val="20"/>
    </w:rPr>
  </w:style>
  <w:style w:type="paragraph" w:customStyle="1" w:styleId="header0">
    <w:name w:val="_header"/>
    <w:basedOn w:val="Header"/>
    <w:qFormat/>
    <w:rsid w:val="00ED7BD9"/>
    <w:pPr>
      <w:pBdr>
        <w:top w:val="single" w:sz="6" w:space="1" w:color="auto"/>
        <w:bottom w:val="single" w:sz="6" w:space="1" w:color="auto"/>
      </w:pBdr>
      <w:tabs>
        <w:tab w:val="clear" w:pos="4320"/>
        <w:tab w:val="clear" w:pos="8640"/>
        <w:tab w:val="right" w:pos="6720"/>
      </w:tabs>
    </w:pPr>
    <w:rPr>
      <w:smallCaps/>
      <w:sz w:val="14"/>
    </w:rPr>
  </w:style>
  <w:style w:type="character" w:customStyle="1" w:styleId="Heading1Char">
    <w:name w:val="Heading 1 Char"/>
    <w:basedOn w:val="DefaultParagraphFont"/>
    <w:link w:val="Heading1"/>
    <w:uiPriority w:val="9"/>
    <w:rsid w:val="00E847CF"/>
    <w:rPr>
      <w:rFonts w:ascii="Times New Roman PS" w:eastAsiaTheme="majorEastAsia" w:hAnsi="Times New Roman PS" w:cstheme="majorBidi"/>
      <w:b/>
      <w:bCs/>
    </w:rPr>
  </w:style>
  <w:style w:type="character" w:customStyle="1" w:styleId="Heading2Char">
    <w:name w:val="Heading 2 Char"/>
    <w:basedOn w:val="DefaultParagraphFont"/>
    <w:link w:val="Heading2"/>
    <w:uiPriority w:val="9"/>
    <w:rsid w:val="00E847CF"/>
    <w:rPr>
      <w:rFonts w:ascii="Times New Roman PS" w:hAnsi="Times New Roman PS"/>
      <w:b/>
    </w:rPr>
  </w:style>
  <w:style w:type="character" w:customStyle="1" w:styleId="Heading3Char">
    <w:name w:val="Heading 3 Char"/>
    <w:basedOn w:val="DefaultParagraphFont"/>
    <w:link w:val="Heading3"/>
    <w:uiPriority w:val="9"/>
    <w:rsid w:val="00E847CF"/>
    <w:rPr>
      <w:rFonts w:ascii="Times New Roman PS" w:hAnsi="Times New Roman PS"/>
      <w:b/>
    </w:rPr>
  </w:style>
  <w:style w:type="character" w:customStyle="1" w:styleId="Heading4Char">
    <w:name w:val="Heading 4 Char"/>
    <w:basedOn w:val="DefaultParagraphFont"/>
    <w:link w:val="Heading4"/>
    <w:uiPriority w:val="9"/>
    <w:rsid w:val="00E847CF"/>
    <w:rPr>
      <w:rFonts w:ascii="Times New Roman PS" w:hAnsi="Times New Roman PS"/>
      <w:b/>
    </w:rPr>
  </w:style>
  <w:style w:type="character" w:customStyle="1" w:styleId="FooterChar">
    <w:name w:val="Footer Char"/>
    <w:basedOn w:val="DefaultParagraphFont"/>
    <w:link w:val="Footer"/>
    <w:rsid w:val="00E847CF"/>
    <w:rPr>
      <w:rFonts w:ascii="Times" w:hAnsi="Times"/>
      <w:sz w:val="20"/>
      <w:szCs w:val="20"/>
    </w:rPr>
  </w:style>
  <w:style w:type="character" w:styleId="Hyperlink">
    <w:name w:val="Hyperlink"/>
    <w:basedOn w:val="DefaultParagraphFont"/>
    <w:uiPriority w:val="99"/>
    <w:unhideWhenUsed/>
    <w:rsid w:val="00E847CF"/>
    <w:rPr>
      <w:color w:val="0000FF" w:themeColor="hyperlink"/>
      <w:u w:val="single"/>
    </w:rPr>
  </w:style>
  <w:style w:type="character" w:customStyle="1" w:styleId="HeaderChar">
    <w:name w:val="Header Char"/>
    <w:basedOn w:val="DefaultParagraphFont"/>
    <w:link w:val="Header"/>
    <w:rsid w:val="00E847CF"/>
    <w:rPr>
      <w:rFonts w:ascii="Times" w:hAnsi="Times"/>
      <w:sz w:val="20"/>
      <w:szCs w:val="20"/>
    </w:rPr>
  </w:style>
  <w:style w:type="paragraph" w:styleId="ListParagraph">
    <w:name w:val="List Paragraph"/>
    <w:basedOn w:val="Normal"/>
    <w:uiPriority w:val="34"/>
    <w:qFormat/>
    <w:rsid w:val="00E847CF"/>
    <w:pPr>
      <w:ind w:left="720"/>
      <w:contextualSpacing/>
    </w:pPr>
  </w:style>
  <w:style w:type="character" w:styleId="FollowedHyperlink">
    <w:name w:val="FollowedHyperlink"/>
    <w:basedOn w:val="DefaultParagraphFont"/>
    <w:uiPriority w:val="99"/>
    <w:semiHidden/>
    <w:unhideWhenUsed/>
    <w:rsid w:val="00E847CF"/>
    <w:rPr>
      <w:color w:val="800080" w:themeColor="followedHyperlink"/>
      <w:u w:val="single"/>
    </w:rPr>
  </w:style>
  <w:style w:type="paragraph" w:styleId="TOCHeading">
    <w:name w:val="TOC Heading"/>
    <w:basedOn w:val="Heading1"/>
    <w:next w:val="Normal"/>
    <w:uiPriority w:val="39"/>
    <w:unhideWhenUsed/>
    <w:qFormat/>
    <w:rsid w:val="00E847CF"/>
    <w:pPr>
      <w:spacing w:before="0" w:line="276" w:lineRule="auto"/>
      <w:outlineLvl w:val="9"/>
    </w:pPr>
    <w:rPr>
      <w:rFonts w:ascii="Times New Roman" w:hAnsi="Times New Roman" w:cstheme="majorHAnsi"/>
      <w:color w:val="000000" w:themeColor="text1"/>
      <w:sz w:val="28"/>
      <w:szCs w:val="28"/>
    </w:rPr>
  </w:style>
  <w:style w:type="character" w:customStyle="1" w:styleId="EndnoteTextChar">
    <w:name w:val="Endnote Text Char"/>
    <w:basedOn w:val="DefaultParagraphFont"/>
    <w:link w:val="EndnoteText"/>
    <w:semiHidden/>
    <w:rsid w:val="00E847CF"/>
    <w:rPr>
      <w:rFonts w:ascii="Times" w:hAnsi="Times"/>
      <w:szCs w:val="20"/>
    </w:rPr>
  </w:style>
  <w:style w:type="paragraph" w:styleId="Revision">
    <w:name w:val="Revision"/>
    <w:hidden/>
    <w:uiPriority w:val="99"/>
    <w:semiHidden/>
    <w:rsid w:val="007E67D2"/>
    <w:rPr>
      <w:rFonts w:ascii="Times New Roman PS" w:hAnsi="Times New Roman PS"/>
    </w:rPr>
  </w:style>
  <w:style w:type="character" w:customStyle="1" w:styleId="UnresolvedMention">
    <w:name w:val="Unresolved Mention"/>
    <w:basedOn w:val="DefaultParagraphFont"/>
    <w:uiPriority w:val="99"/>
    <w:semiHidden/>
    <w:unhideWhenUsed/>
    <w:rsid w:val="007A4079"/>
    <w:rPr>
      <w:color w:val="605E5C"/>
      <w:shd w:val="clear" w:color="auto" w:fill="E1DFDD"/>
    </w:rPr>
  </w:style>
  <w:style w:type="character" w:styleId="Strong">
    <w:name w:val="Strong"/>
    <w:basedOn w:val="DefaultParagraphFont"/>
    <w:uiPriority w:val="22"/>
    <w:qFormat/>
    <w:rsid w:val="002F688F"/>
    <w:rPr>
      <w:b/>
      <w:bCs/>
    </w:rPr>
  </w:style>
  <w:style w:type="character" w:styleId="CommentReference">
    <w:name w:val="annotation reference"/>
    <w:basedOn w:val="DefaultParagraphFont"/>
    <w:semiHidden/>
    <w:unhideWhenUsed/>
    <w:rsid w:val="002F688F"/>
    <w:rPr>
      <w:sz w:val="16"/>
      <w:szCs w:val="16"/>
    </w:rPr>
  </w:style>
  <w:style w:type="paragraph" w:styleId="CommentText">
    <w:name w:val="annotation text"/>
    <w:basedOn w:val="Normal"/>
    <w:link w:val="CommentTextChar"/>
    <w:semiHidden/>
    <w:unhideWhenUsed/>
    <w:rsid w:val="002F688F"/>
  </w:style>
  <w:style w:type="character" w:customStyle="1" w:styleId="CommentTextChar">
    <w:name w:val="Comment Text Char"/>
    <w:basedOn w:val="DefaultParagraphFont"/>
    <w:link w:val="CommentText"/>
    <w:semiHidden/>
    <w:rsid w:val="002F688F"/>
    <w:rPr>
      <w:rFonts w:ascii="Times New Roman PS" w:hAnsi="Times New Roman PS"/>
    </w:rPr>
  </w:style>
  <w:style w:type="paragraph" w:styleId="CommentSubject">
    <w:name w:val="annotation subject"/>
    <w:basedOn w:val="CommentText"/>
    <w:next w:val="CommentText"/>
    <w:link w:val="CommentSubjectChar"/>
    <w:semiHidden/>
    <w:unhideWhenUsed/>
    <w:rsid w:val="002F688F"/>
    <w:rPr>
      <w:b/>
      <w:bCs/>
    </w:rPr>
  </w:style>
  <w:style w:type="character" w:customStyle="1" w:styleId="CommentSubjectChar">
    <w:name w:val="Comment Subject Char"/>
    <w:basedOn w:val="CommentTextChar"/>
    <w:link w:val="CommentSubject"/>
    <w:semiHidden/>
    <w:rsid w:val="002F688F"/>
    <w:rPr>
      <w:rFonts w:ascii="Times New Roman PS" w:hAnsi="Times New Roman P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3401">
      <w:bodyDiv w:val="1"/>
      <w:marLeft w:val="0"/>
      <w:marRight w:val="0"/>
      <w:marTop w:val="0"/>
      <w:marBottom w:val="0"/>
      <w:divBdr>
        <w:top w:val="none" w:sz="0" w:space="0" w:color="auto"/>
        <w:left w:val="none" w:sz="0" w:space="0" w:color="auto"/>
        <w:bottom w:val="none" w:sz="0" w:space="0" w:color="auto"/>
        <w:right w:val="none" w:sz="0" w:space="0" w:color="auto"/>
      </w:divBdr>
    </w:div>
    <w:div w:id="324745209">
      <w:bodyDiv w:val="1"/>
      <w:marLeft w:val="0"/>
      <w:marRight w:val="0"/>
      <w:marTop w:val="0"/>
      <w:marBottom w:val="0"/>
      <w:divBdr>
        <w:top w:val="none" w:sz="0" w:space="0" w:color="auto"/>
        <w:left w:val="none" w:sz="0" w:space="0" w:color="auto"/>
        <w:bottom w:val="none" w:sz="0" w:space="0" w:color="auto"/>
        <w:right w:val="none" w:sz="0" w:space="0" w:color="auto"/>
      </w:divBdr>
      <w:divsChild>
        <w:div w:id="639191359">
          <w:marLeft w:val="0"/>
          <w:marRight w:val="0"/>
          <w:marTop w:val="0"/>
          <w:marBottom w:val="0"/>
          <w:divBdr>
            <w:top w:val="none" w:sz="0" w:space="0" w:color="auto"/>
            <w:left w:val="none" w:sz="0" w:space="0" w:color="auto"/>
            <w:bottom w:val="none" w:sz="0" w:space="0" w:color="auto"/>
            <w:right w:val="none" w:sz="0" w:space="0" w:color="auto"/>
          </w:divBdr>
          <w:divsChild>
            <w:div w:id="1552305015">
              <w:marLeft w:val="0"/>
              <w:marRight w:val="0"/>
              <w:marTop w:val="0"/>
              <w:marBottom w:val="0"/>
              <w:divBdr>
                <w:top w:val="none" w:sz="0" w:space="0" w:color="auto"/>
                <w:left w:val="none" w:sz="0" w:space="0" w:color="auto"/>
                <w:bottom w:val="none" w:sz="0" w:space="0" w:color="auto"/>
                <w:right w:val="none" w:sz="0" w:space="0" w:color="auto"/>
              </w:divBdr>
              <w:divsChild>
                <w:div w:id="895118786">
                  <w:marLeft w:val="0"/>
                  <w:marRight w:val="0"/>
                  <w:marTop w:val="0"/>
                  <w:marBottom w:val="0"/>
                  <w:divBdr>
                    <w:top w:val="none" w:sz="0" w:space="0" w:color="auto"/>
                    <w:left w:val="none" w:sz="0" w:space="0" w:color="auto"/>
                    <w:bottom w:val="none" w:sz="0" w:space="0" w:color="auto"/>
                    <w:right w:val="none" w:sz="0" w:space="0" w:color="auto"/>
                  </w:divBdr>
                </w:div>
              </w:divsChild>
            </w:div>
            <w:div w:id="1870296337">
              <w:marLeft w:val="0"/>
              <w:marRight w:val="0"/>
              <w:marTop w:val="0"/>
              <w:marBottom w:val="0"/>
              <w:divBdr>
                <w:top w:val="none" w:sz="0" w:space="0" w:color="auto"/>
                <w:left w:val="none" w:sz="0" w:space="0" w:color="auto"/>
                <w:bottom w:val="none" w:sz="0" w:space="0" w:color="auto"/>
                <w:right w:val="none" w:sz="0" w:space="0" w:color="auto"/>
              </w:divBdr>
              <w:divsChild>
                <w:div w:id="4670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8293">
      <w:bodyDiv w:val="1"/>
      <w:marLeft w:val="0"/>
      <w:marRight w:val="0"/>
      <w:marTop w:val="0"/>
      <w:marBottom w:val="0"/>
      <w:divBdr>
        <w:top w:val="none" w:sz="0" w:space="0" w:color="auto"/>
        <w:left w:val="none" w:sz="0" w:space="0" w:color="auto"/>
        <w:bottom w:val="none" w:sz="0" w:space="0" w:color="auto"/>
        <w:right w:val="none" w:sz="0" w:space="0" w:color="auto"/>
      </w:divBdr>
    </w:div>
    <w:div w:id="799112356">
      <w:bodyDiv w:val="1"/>
      <w:marLeft w:val="0"/>
      <w:marRight w:val="0"/>
      <w:marTop w:val="0"/>
      <w:marBottom w:val="0"/>
      <w:divBdr>
        <w:top w:val="none" w:sz="0" w:space="0" w:color="auto"/>
        <w:left w:val="none" w:sz="0" w:space="0" w:color="auto"/>
        <w:bottom w:val="none" w:sz="0" w:space="0" w:color="auto"/>
        <w:right w:val="none" w:sz="0" w:space="0" w:color="auto"/>
      </w:divBdr>
    </w:div>
    <w:div w:id="804926405">
      <w:bodyDiv w:val="1"/>
      <w:marLeft w:val="0"/>
      <w:marRight w:val="0"/>
      <w:marTop w:val="0"/>
      <w:marBottom w:val="0"/>
      <w:divBdr>
        <w:top w:val="none" w:sz="0" w:space="0" w:color="auto"/>
        <w:left w:val="none" w:sz="0" w:space="0" w:color="auto"/>
        <w:bottom w:val="none" w:sz="0" w:space="0" w:color="auto"/>
        <w:right w:val="none" w:sz="0" w:space="0" w:color="auto"/>
      </w:divBdr>
    </w:div>
    <w:div w:id="1106463131">
      <w:bodyDiv w:val="1"/>
      <w:marLeft w:val="0"/>
      <w:marRight w:val="0"/>
      <w:marTop w:val="0"/>
      <w:marBottom w:val="0"/>
      <w:divBdr>
        <w:top w:val="none" w:sz="0" w:space="0" w:color="auto"/>
        <w:left w:val="none" w:sz="0" w:space="0" w:color="auto"/>
        <w:bottom w:val="none" w:sz="0" w:space="0" w:color="auto"/>
        <w:right w:val="none" w:sz="0" w:space="0" w:color="auto"/>
      </w:divBdr>
    </w:div>
    <w:div w:id="1186097658">
      <w:bodyDiv w:val="1"/>
      <w:marLeft w:val="0"/>
      <w:marRight w:val="0"/>
      <w:marTop w:val="0"/>
      <w:marBottom w:val="0"/>
      <w:divBdr>
        <w:top w:val="none" w:sz="0" w:space="0" w:color="auto"/>
        <w:left w:val="none" w:sz="0" w:space="0" w:color="auto"/>
        <w:bottom w:val="none" w:sz="0" w:space="0" w:color="auto"/>
        <w:right w:val="none" w:sz="0" w:space="0" w:color="auto"/>
      </w:divBdr>
    </w:div>
    <w:div w:id="14175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ionline.com/article/20091005/INTERACTIVE/910019997/table-the-p-i-watson-wyatt-world-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review\Desktop\_SetMacBOS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B55B-7C84-4831-A677-121F34AB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_SetMacBOS16</Template>
  <TotalTime>971</TotalTime>
  <Pages>41</Pages>
  <Words>12293</Words>
  <Characters>69889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82018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law</dc:creator>
  <cp:keywords/>
  <dc:description/>
  <cp:lastModifiedBy>Review, Law</cp:lastModifiedBy>
  <cp:revision>189</cp:revision>
  <cp:lastPrinted>2019-10-14T23:53:00Z</cp:lastPrinted>
  <dcterms:created xsi:type="dcterms:W3CDTF">2019-11-04T22:11:00Z</dcterms:created>
  <dcterms:modified xsi:type="dcterms:W3CDTF">2019-12-06T18:47:00Z</dcterms:modified>
</cp:coreProperties>
</file>