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19CD95" w14:textId="77777777" w:rsidR="00D81C8B" w:rsidRDefault="00456096">
      <w:pPr>
        <w:spacing w:after="20"/>
      </w:pPr>
      <w:r>
        <w:rPr>
          <w:b/>
          <w:color w:val="8B0A26"/>
          <w:sz w:val="36"/>
        </w:rPr>
        <w:t>Sean P. Mullen, PhD</w:t>
      </w:r>
    </w:p>
    <w:p w14:paraId="4FF09955" w14:textId="77777777" w:rsidR="00D81C8B" w:rsidRDefault="00456096">
      <w:pPr>
        <w:spacing w:after="0"/>
      </w:pPr>
      <w:r>
        <w:rPr>
          <w:color w:val="5D5D5D"/>
        </w:rPr>
        <w:t>Professor of Biology | Associate Provost for Graduate Affairs, Boston University</w:t>
      </w:r>
    </w:p>
    <w:p w14:paraId="5C37214D" w14:textId="77777777" w:rsidR="00D81C8B" w:rsidRDefault="00456096">
      <w:pPr>
        <w:spacing w:after="0"/>
      </w:pPr>
      <w:r>
        <w:rPr>
          <w:i/>
          <w:color w:val="5D5D5D"/>
          <w:sz w:val="19"/>
        </w:rPr>
        <w:t>Former Associate Dean of the Faculty for the Natural Sciences, College of Arts &amp; Sciences</w:t>
      </w:r>
    </w:p>
    <w:p w14:paraId="4A05757E" w14:textId="77777777" w:rsidR="00D81C8B" w:rsidRDefault="00456096" w:rsidP="00EE03B8">
      <w:pPr>
        <w:spacing w:after="20"/>
        <w:rPr>
          <w:color w:val="5D5D5D"/>
          <w:sz w:val="19"/>
        </w:rPr>
      </w:pPr>
      <w:r>
        <w:rPr>
          <w:color w:val="5D5D5D"/>
          <w:sz w:val="19"/>
        </w:rPr>
        <w:t>smullen@bu.edu | 508-272-9585</w:t>
      </w:r>
    </w:p>
    <w:p w14:paraId="4E79398A" w14:textId="77777777" w:rsidR="00EE03B8" w:rsidRDefault="00EE03B8" w:rsidP="00EE03B8">
      <w:pPr>
        <w:spacing w:after="20"/>
      </w:pPr>
    </w:p>
    <w:p w14:paraId="1BA14A03" w14:textId="77777777" w:rsidR="00D81C8B" w:rsidRDefault="00456096">
      <w:pPr>
        <w:keepNext/>
        <w:pBdr>
          <w:bottom w:val="single" w:sz="8" w:space="3" w:color="8B0A26"/>
        </w:pBdr>
        <w:spacing w:before="120" w:after="80"/>
      </w:pPr>
      <w:r>
        <w:rPr>
          <w:b/>
          <w:color w:val="8B0A26"/>
          <w:sz w:val="22"/>
        </w:rPr>
        <w:t>ACADEMIC LEADERSHIP PROFILE</w:t>
      </w:r>
    </w:p>
    <w:p w14:paraId="15A117A1" w14:textId="77777777" w:rsidR="00D81C8B" w:rsidRDefault="00456096">
      <w:pPr>
        <w:spacing w:after="80"/>
      </w:pPr>
      <w:r>
        <w:t>I am a professor of biology and senior academic leader at Boston University with experience spanning faculty affairs, graduate and undergraduate education, research strategy, academic planning, enrollment, academic labor, governance, and resource stewardship. As Associate Provost for Graduate Affairs, I lead policy and planning for more than 18,000 graduate and professional students, partner on online programs with approximately 40,000 annual course enrollments, oversee a $3.6M recurring budget portfolio, and lead a 21-person team.</w:t>
      </w:r>
    </w:p>
    <w:p w14:paraId="60143A5A" w14:textId="77777777" w:rsidR="00D81C8B" w:rsidRDefault="00456096">
      <w:pPr>
        <w:spacing w:after="80"/>
      </w:pPr>
      <w:r>
        <w:t>My leadership focuses on helping a decentralized R1 university respond to structural change without compromising academic quality or faculty authority. I have led organizational integration, faculty recruitment and advancement, data and planning systems, alignment of academic priorities with enrollment and finance, implementation of Boston University's first graduate-worker collective bargaining agreement, and development of an enterprise model that strengthens shared infrastructure while preserving faculty and school authority. I remain an active evolutionary biologist, teacher, and mentor and have served as PI or co-PI on externally funded projects with a combined collaborative value of more than $5.7M.</w:t>
      </w:r>
    </w:p>
    <w:p w14:paraId="030F77C0" w14:textId="77777777" w:rsidR="00D81C8B" w:rsidRDefault="00456096">
      <w:pPr>
        <w:keepNext/>
        <w:pBdr>
          <w:bottom w:val="single" w:sz="8" w:space="3" w:color="8B0A26"/>
        </w:pBdr>
        <w:spacing w:before="120" w:after="80"/>
      </w:pPr>
      <w:r>
        <w:rPr>
          <w:b/>
          <w:color w:val="8B0A26"/>
          <w:sz w:val="22"/>
        </w:rPr>
        <w:t>EXECUTIVE LEADERSHIP SNAPSHOT</w:t>
      </w:r>
    </w:p>
    <w:tbl>
      <w:tblPr>
        <w:tblW w:w="0" w:type="auto"/>
        <w:tblLayout w:type="fixed"/>
        <w:tblLook w:val="04A0" w:firstRow="1" w:lastRow="0" w:firstColumn="1" w:lastColumn="0" w:noHBand="0" w:noVBand="1"/>
      </w:tblPr>
      <w:tblGrid>
        <w:gridCol w:w="5083"/>
        <w:gridCol w:w="5083"/>
      </w:tblGrid>
      <w:tr w:rsidR="00D81C8B" w14:paraId="2193FE70" w14:textId="77777777">
        <w:trPr>
          <w:cantSplit/>
        </w:trPr>
        <w:tc>
          <w:tcPr>
            <w:tcW w:w="5083" w:type="dxa"/>
            <w:tcBorders>
              <w:top w:val="single" w:sz="5" w:space="0" w:color="B7B7B7"/>
              <w:left w:val="single" w:sz="5" w:space="0" w:color="B7B7B7"/>
              <w:bottom w:val="single" w:sz="5" w:space="0" w:color="B7B7B7"/>
              <w:right w:val="single" w:sz="5" w:space="0" w:color="B7B7B7"/>
            </w:tcBorders>
            <w:shd w:val="clear" w:color="auto" w:fill="F1F1F1"/>
            <w:tcMar>
              <w:top w:w="95" w:type="dxa"/>
              <w:left w:w="115" w:type="dxa"/>
              <w:bottom w:w="95" w:type="dxa"/>
              <w:right w:w="115" w:type="dxa"/>
            </w:tcMar>
          </w:tcPr>
          <w:p w14:paraId="0371A731" w14:textId="77777777" w:rsidR="00D81C8B" w:rsidRDefault="00456096">
            <w:pPr>
              <w:spacing w:after="0"/>
            </w:pPr>
            <w:r>
              <w:rPr>
                <w:b/>
                <w:color w:val="8B0A26"/>
              </w:rPr>
              <w:t xml:space="preserve">University-wide academic leadership. </w:t>
            </w:r>
            <w:r>
              <w:t>Lead graduate policy, enrollment, funding, labor, program planning, and governance across schools and colleges; serve on the Provost's Cabinet, Dean's Council, University Leadership Group, and University Council.</w:t>
            </w:r>
          </w:p>
        </w:tc>
        <w:tc>
          <w:tcPr>
            <w:tcW w:w="5083" w:type="dxa"/>
            <w:tcBorders>
              <w:top w:val="single" w:sz="5" w:space="0" w:color="B7B7B7"/>
              <w:left w:val="single" w:sz="5" w:space="0" w:color="B7B7B7"/>
              <w:bottom w:val="single" w:sz="5" w:space="0" w:color="B7B7B7"/>
              <w:right w:val="single" w:sz="5" w:space="0" w:color="B7B7B7"/>
            </w:tcBorders>
            <w:shd w:val="clear" w:color="auto" w:fill="F1F1F1"/>
            <w:tcMar>
              <w:top w:w="95" w:type="dxa"/>
              <w:left w:w="115" w:type="dxa"/>
              <w:bottom w:w="95" w:type="dxa"/>
              <w:right w:w="115" w:type="dxa"/>
            </w:tcMar>
          </w:tcPr>
          <w:p w14:paraId="3A27BD3F" w14:textId="77777777" w:rsidR="00D81C8B" w:rsidRDefault="00456096">
            <w:pPr>
              <w:spacing w:after="0"/>
            </w:pPr>
            <w:r>
              <w:rPr>
                <w:b/>
                <w:color w:val="8B0A26"/>
              </w:rPr>
              <w:t xml:space="preserve">Organizational and financial stewardship. </w:t>
            </w:r>
            <w:r>
              <w:t>Oversee a $3.6M recurring budget portfolio and lead a 21-person team; implemented the integration of Graduate Affairs and Graduate Enrollment and established two Assistant Provost roles and an Academic Labor Relations function.</w:t>
            </w:r>
          </w:p>
        </w:tc>
      </w:tr>
      <w:tr w:rsidR="00D81C8B" w14:paraId="0987225D" w14:textId="77777777">
        <w:trPr>
          <w:cantSplit/>
        </w:trPr>
        <w:tc>
          <w:tcPr>
            <w:tcW w:w="5083" w:type="dxa"/>
            <w:tcBorders>
              <w:top w:val="single" w:sz="5" w:space="0" w:color="B7B7B7"/>
              <w:left w:val="single" w:sz="5" w:space="0" w:color="B7B7B7"/>
              <w:bottom w:val="single" w:sz="5" w:space="0" w:color="B7B7B7"/>
              <w:right w:val="single" w:sz="5" w:space="0" w:color="B7B7B7"/>
            </w:tcBorders>
            <w:shd w:val="clear" w:color="auto" w:fill="E7D7DC"/>
            <w:tcMar>
              <w:top w:w="95" w:type="dxa"/>
              <w:left w:w="115" w:type="dxa"/>
              <w:bottom w:w="95" w:type="dxa"/>
              <w:right w:w="115" w:type="dxa"/>
            </w:tcMar>
          </w:tcPr>
          <w:p w14:paraId="4594D7BE" w14:textId="77777777" w:rsidR="00D81C8B" w:rsidRDefault="00456096">
            <w:pPr>
              <w:spacing w:after="0"/>
            </w:pPr>
            <w:r>
              <w:rPr>
                <w:b/>
                <w:color w:val="8B0A26"/>
              </w:rPr>
              <w:t xml:space="preserve">Faculty excellence and academic culture. </w:t>
            </w:r>
            <w:r>
              <w:t>Led 21 faculty hires, 28 successful promotion cases, and seven negotiated retirements; advised on retention, faculty performance, search practice, and leadership development.</w:t>
            </w:r>
          </w:p>
        </w:tc>
        <w:tc>
          <w:tcPr>
            <w:tcW w:w="5083" w:type="dxa"/>
            <w:tcBorders>
              <w:top w:val="single" w:sz="5" w:space="0" w:color="B7B7B7"/>
              <w:left w:val="single" w:sz="5" w:space="0" w:color="B7B7B7"/>
              <w:bottom w:val="single" w:sz="5" w:space="0" w:color="B7B7B7"/>
              <w:right w:val="single" w:sz="5" w:space="0" w:color="B7B7B7"/>
            </w:tcBorders>
            <w:shd w:val="clear" w:color="auto" w:fill="E7D7DC"/>
            <w:tcMar>
              <w:top w:w="95" w:type="dxa"/>
              <w:left w:w="115" w:type="dxa"/>
              <w:bottom w:w="95" w:type="dxa"/>
              <w:right w:w="115" w:type="dxa"/>
            </w:tcMar>
          </w:tcPr>
          <w:p w14:paraId="7A2571AE" w14:textId="77777777" w:rsidR="00D81C8B" w:rsidRDefault="00456096">
            <w:pPr>
              <w:spacing w:after="0"/>
            </w:pPr>
            <w:r>
              <w:rPr>
                <w:b/>
                <w:color w:val="8B0A26"/>
              </w:rPr>
              <w:t xml:space="preserve">Enrollment and educational innovation. </w:t>
            </w:r>
            <w:r>
              <w:t>Support more than 18,000 graduate and professional students and approximately 40,000 annual online course enrollments through enrollment strategy, program development, and pathway planning.</w:t>
            </w:r>
          </w:p>
        </w:tc>
      </w:tr>
      <w:tr w:rsidR="00D81C8B" w14:paraId="0A883CD6" w14:textId="77777777">
        <w:trPr>
          <w:cantSplit/>
        </w:trPr>
        <w:tc>
          <w:tcPr>
            <w:tcW w:w="5083" w:type="dxa"/>
            <w:tcBorders>
              <w:top w:val="single" w:sz="5" w:space="0" w:color="B7B7B7"/>
              <w:left w:val="single" w:sz="5" w:space="0" w:color="B7B7B7"/>
              <w:bottom w:val="single" w:sz="5" w:space="0" w:color="B7B7B7"/>
              <w:right w:val="single" w:sz="5" w:space="0" w:color="B7B7B7"/>
            </w:tcBorders>
            <w:shd w:val="clear" w:color="auto" w:fill="F1F1F1"/>
            <w:tcMar>
              <w:top w:w="95" w:type="dxa"/>
              <w:left w:w="115" w:type="dxa"/>
              <w:bottom w:w="95" w:type="dxa"/>
              <w:right w:w="115" w:type="dxa"/>
            </w:tcMar>
          </w:tcPr>
          <w:p w14:paraId="203E10E5" w14:textId="77777777" w:rsidR="00D81C8B" w:rsidRDefault="00456096">
            <w:pPr>
              <w:spacing w:after="0"/>
            </w:pPr>
            <w:r>
              <w:rPr>
                <w:b/>
                <w:color w:val="8B0A26"/>
              </w:rPr>
              <w:t xml:space="preserve">Research and interdisciplinary strategy. </w:t>
            </w:r>
            <w:r>
              <w:t>Active NSF-funded scholar; strengthened research administration supporting more than 400 proposals annually and led strategic hiring in quantum science, sustainability, neuroscience, and environmental data science.</w:t>
            </w:r>
          </w:p>
        </w:tc>
        <w:tc>
          <w:tcPr>
            <w:tcW w:w="5083" w:type="dxa"/>
            <w:tcBorders>
              <w:top w:val="single" w:sz="5" w:space="0" w:color="B7B7B7"/>
              <w:left w:val="single" w:sz="5" w:space="0" w:color="B7B7B7"/>
              <w:bottom w:val="single" w:sz="5" w:space="0" w:color="B7B7B7"/>
              <w:right w:val="single" w:sz="5" w:space="0" w:color="B7B7B7"/>
            </w:tcBorders>
            <w:shd w:val="clear" w:color="auto" w:fill="F1F1F1"/>
            <w:tcMar>
              <w:top w:w="95" w:type="dxa"/>
              <w:left w:w="115" w:type="dxa"/>
              <w:bottom w:w="95" w:type="dxa"/>
              <w:right w:w="115" w:type="dxa"/>
            </w:tcMar>
          </w:tcPr>
          <w:p w14:paraId="081AE322" w14:textId="77777777" w:rsidR="00D81C8B" w:rsidRDefault="00456096">
            <w:pPr>
              <w:spacing w:after="0"/>
            </w:pPr>
            <w:r>
              <w:rPr>
                <w:b/>
                <w:color w:val="8B0A26"/>
              </w:rPr>
              <w:t xml:space="preserve">Shared governance and institutional coordination. </w:t>
            </w:r>
            <w:r>
              <w:t>Connect academic program review, graduate governance, collective bargaining, data systems, tuition and doctoral funding models, and cross-unit partnerships while preserving academic decision-making with faculty and schools.</w:t>
            </w:r>
          </w:p>
        </w:tc>
      </w:tr>
    </w:tbl>
    <w:p w14:paraId="27929B09" w14:textId="77777777" w:rsidR="00D81C8B" w:rsidRDefault="00456096">
      <w:pPr>
        <w:keepNext/>
        <w:pBdr>
          <w:bottom w:val="single" w:sz="8" w:space="3" w:color="8B0A26"/>
        </w:pBdr>
        <w:spacing w:before="160" w:after="80"/>
      </w:pPr>
      <w:r>
        <w:rPr>
          <w:b/>
          <w:color w:val="8B0A26"/>
          <w:sz w:val="22"/>
        </w:rPr>
        <w:t>SELECTED UNIVERSITY LEADERSHIP ACCOMPLISHMENTS</w:t>
      </w:r>
    </w:p>
    <w:p w14:paraId="3E527213" w14:textId="77777777" w:rsidR="00D81C8B" w:rsidRDefault="00456096">
      <w:pPr>
        <w:keepNext/>
        <w:spacing w:before="100"/>
      </w:pPr>
      <w:r>
        <w:rPr>
          <w:b/>
          <w:color w:val="8B0A26"/>
        </w:rPr>
        <w:t>Institutional Strategy, Integration, and Stewardship</w:t>
      </w:r>
    </w:p>
    <w:p w14:paraId="7BEF1984" w14:textId="77777777" w:rsidR="00D81C8B" w:rsidRDefault="00456096">
      <w:pPr>
        <w:keepNext/>
        <w:ind w:left="317" w:hanging="230"/>
      </w:pPr>
      <w:r>
        <w:t>•  Led implementation of the integration of Graduate Affairs and Graduate Enrollment into a coordinated portfolio spanning policy, enrollment strategy, graduate labor, professional development, data, and operations; hired two Assistant Provosts and established an Academic Labor Relations function.</w:t>
      </w:r>
    </w:p>
    <w:p w14:paraId="1EB2DC42" w14:textId="77777777" w:rsidR="00D81C8B" w:rsidRDefault="00456096">
      <w:pPr>
        <w:keepNext/>
        <w:ind w:left="317" w:hanging="230"/>
      </w:pPr>
      <w:r>
        <w:t>•  Developed an enterprise operating model to clarify decision rights, reduce duplication, and strengthen coordination while preserving faculty and school authority over academic decisions.</w:t>
      </w:r>
    </w:p>
    <w:p w14:paraId="4EB89AD4" w14:textId="77777777" w:rsidR="00D81C8B" w:rsidRDefault="00456096">
      <w:pPr>
        <w:keepNext/>
        <w:ind w:left="317" w:hanging="230"/>
      </w:pPr>
      <w:r>
        <w:t>•  Led development and successful advocacy for a CAS doctoral funding framework that secured additional ongoing central support for humanities and social science PhD programs and strengthened long-term financial and instructional planning.</w:t>
      </w:r>
    </w:p>
    <w:p w14:paraId="1B18A277" w14:textId="77777777" w:rsidR="00D81C8B" w:rsidRDefault="00456096">
      <w:pPr>
        <w:ind w:left="317" w:hanging="230"/>
      </w:pPr>
      <w:r>
        <w:t>•  Established a cross-functional review of collective bargaining implementation to standardize workflows, clarify workload and additional-work processes, and inform future policy and negotiations.</w:t>
      </w:r>
    </w:p>
    <w:p w14:paraId="1B1D74D7" w14:textId="77777777" w:rsidR="00D81C8B" w:rsidRDefault="00456096">
      <w:pPr>
        <w:keepNext/>
        <w:spacing w:before="100"/>
      </w:pPr>
      <w:r>
        <w:rPr>
          <w:b/>
          <w:color w:val="8B0A26"/>
        </w:rPr>
        <w:t>Faculty Excellence, Research, and Academic Innovation</w:t>
      </w:r>
    </w:p>
    <w:p w14:paraId="54182C21" w14:textId="77777777" w:rsidR="00D81C8B" w:rsidRDefault="00456096">
      <w:pPr>
        <w:keepNext/>
        <w:ind w:left="317" w:hanging="230"/>
      </w:pPr>
      <w:r>
        <w:t>•  Led recruitment and hiring of 21 faculty, including 18 tenure-stream hires (three at senior rank) and three lecturers/instructors; oversaw 28 successful promotion cases and negotiated seven faculty retirements.</w:t>
      </w:r>
    </w:p>
    <w:p w14:paraId="3E61C787" w14:textId="77777777" w:rsidR="00D81C8B" w:rsidRDefault="00456096">
      <w:pPr>
        <w:keepNext/>
        <w:ind w:left="317" w:hanging="230"/>
      </w:pPr>
      <w:r>
        <w:t>•  Led multi-year interdisciplinary faculty hiring initiatives in quantum science and engineering, global change and sustainability, and neuroscience, and supported an endowed chair search in environmental data science.</w:t>
      </w:r>
    </w:p>
    <w:p w14:paraId="48306234" w14:textId="77777777" w:rsidR="00D81C8B" w:rsidRDefault="00456096">
      <w:pPr>
        <w:keepNext/>
        <w:ind w:left="317" w:hanging="230"/>
      </w:pPr>
      <w:r>
        <w:t>•  Proposed and led creation of the inaugural CAS Director of Research Administration role, strengthening support for more than 400 faculty proposal submissions annually; renewed investment in shared instrumentation and research infrastructure.</w:t>
      </w:r>
    </w:p>
    <w:p w14:paraId="03344EC5" w14:textId="77777777" w:rsidR="00D81C8B" w:rsidRDefault="00456096">
      <w:pPr>
        <w:ind w:left="317" w:hanging="230"/>
      </w:pPr>
      <w:r>
        <w:t>•  Co-chaired the search for a new Director of the Institute for Excellence in Teaching &amp; Learning, connecting faculty development with graduate and undergraduate education priorities.</w:t>
      </w:r>
    </w:p>
    <w:p w14:paraId="08BE81EF" w14:textId="77777777" w:rsidR="00D81C8B" w:rsidRDefault="00456096">
      <w:pPr>
        <w:keepNext/>
        <w:spacing w:before="100"/>
      </w:pPr>
      <w:r>
        <w:rPr>
          <w:b/>
          <w:color w:val="8B0A26"/>
        </w:rPr>
        <w:t>Enrollment, Data, and Student Success</w:t>
      </w:r>
    </w:p>
    <w:p w14:paraId="0F8B614E" w14:textId="77777777" w:rsidR="00D81C8B" w:rsidRDefault="00456096">
      <w:pPr>
        <w:keepNext/>
        <w:ind w:left="317" w:hanging="230"/>
      </w:pPr>
      <w:r>
        <w:t>•  Advanced alignment of Slate-enabled recruitment, market intelligence, pricing, yield strategy, and enrollment target-setting across schools, Graduate Enrollment, and BU Virtual.</w:t>
      </w:r>
    </w:p>
    <w:p w14:paraId="7120AFA3" w14:textId="77777777" w:rsidR="00D81C8B" w:rsidRDefault="00456096">
      <w:pPr>
        <w:ind w:left="317" w:hanging="230"/>
      </w:pPr>
      <w:r>
        <w:t>•  Improved PhD enrollment profiles and master's program health checks and initiated broader modernization of graduate data collection using national surveys and scalable institutional tools.</w:t>
      </w:r>
    </w:p>
    <w:p w14:paraId="0DFEE7A8" w14:textId="77777777" w:rsidR="00D81C8B" w:rsidRDefault="00456096">
      <w:pPr>
        <w:keepNext/>
        <w:ind w:left="317" w:hanging="230"/>
      </w:pPr>
      <w:r>
        <w:t>•  Developed a preCAP framework linking academic quality, market demand, enrollment potential, financial viability, career outcomes, and institutional priorities before formal governance review.</w:t>
      </w:r>
    </w:p>
    <w:p w14:paraId="0709D540" w14:textId="77777777" w:rsidR="00D81C8B" w:rsidRDefault="00456096">
      <w:pPr>
        <w:ind w:left="317" w:hanging="230"/>
      </w:pPr>
      <w:r>
        <w:t>•  Advanced mentoring, professional development, graduate-life, and writing-support partnerships across Graduate and Undergraduate Affairs.</w:t>
      </w:r>
    </w:p>
    <w:p w14:paraId="1F46BB17" w14:textId="77777777" w:rsidR="00D81C8B" w:rsidRDefault="00456096">
      <w:pPr>
        <w:keepNext/>
        <w:spacing w:before="100"/>
      </w:pPr>
      <w:r>
        <w:rPr>
          <w:b/>
          <w:color w:val="8B0A26"/>
        </w:rPr>
        <w:t>Shared Governance, Academic Culture, and External Engagement</w:t>
      </w:r>
    </w:p>
    <w:p w14:paraId="778415BA" w14:textId="77777777" w:rsidR="00D81C8B" w:rsidRDefault="00456096">
      <w:pPr>
        <w:keepNext/>
        <w:ind w:left="317" w:hanging="230"/>
      </w:pPr>
      <w:r>
        <w:t>•  Preside over the Graduate Academic Program Policy Committee and serve as a consultative partner on Academic Program Review, combining clear university standards with faculty-led academic judgment.</w:t>
      </w:r>
    </w:p>
    <w:p w14:paraId="21427F80" w14:textId="58C330E7" w:rsidR="00D81C8B" w:rsidRDefault="00456096">
      <w:pPr>
        <w:keepNext/>
        <w:ind w:left="317" w:hanging="230"/>
      </w:pPr>
      <w:r>
        <w:t xml:space="preserve">•  </w:t>
      </w:r>
      <w:proofErr w:type="gramStart"/>
      <w:r>
        <w:t>Revised faculty search practices,</w:t>
      </w:r>
      <w:proofErr w:type="gramEnd"/>
      <w:r>
        <w:t xml:space="preserve"> </w:t>
      </w:r>
      <w:r w:rsidR="004667D6">
        <w:t xml:space="preserve">implemented </w:t>
      </w:r>
      <w:r>
        <w:t xml:space="preserve">bias-awareness </w:t>
      </w:r>
      <w:r w:rsidR="004667D6">
        <w:t xml:space="preserve">practices and </w:t>
      </w:r>
      <w:r>
        <w:t>structured dialogue, and supported leadership development across the natural sciences.</w:t>
      </w:r>
    </w:p>
    <w:p w14:paraId="0F221FCE" w14:textId="77777777" w:rsidR="00D81C8B" w:rsidRDefault="00456096">
      <w:pPr>
        <w:keepNext/>
        <w:ind w:left="317" w:hanging="230"/>
      </w:pPr>
      <w:r>
        <w:t>•  Partnered with development and foundation-relations colleagues on donor cultivation, research and student-access proposals, and Clare Boothe Luce programming supporting women in science and engineering.</w:t>
      </w:r>
    </w:p>
    <w:p w14:paraId="2B2ACE32" w14:textId="77777777" w:rsidR="00D81C8B" w:rsidRDefault="00456096">
      <w:pPr>
        <w:ind w:left="317" w:hanging="230"/>
      </w:pPr>
      <w:r>
        <w:t>•  Co-led continuity planning during the graduate-worker strike to protect undergraduate laboratory instruction, grading, and academic progress.</w:t>
      </w:r>
    </w:p>
    <w:p w14:paraId="24351C06" w14:textId="77777777" w:rsidR="00D81C8B" w:rsidRDefault="00456096">
      <w:pPr>
        <w:keepNext/>
        <w:pBdr>
          <w:bottom w:val="single" w:sz="8" w:space="3" w:color="8B0A26"/>
        </w:pBdr>
        <w:spacing w:before="180" w:after="80"/>
      </w:pPr>
      <w:r>
        <w:rPr>
          <w:b/>
          <w:color w:val="8B0A26"/>
          <w:sz w:val="22"/>
        </w:rPr>
        <w:t>EDUCATION</w:t>
      </w:r>
    </w:p>
    <w:tbl>
      <w:tblPr>
        <w:tblW w:w="0" w:type="auto"/>
        <w:tblLayout w:type="fixed"/>
        <w:tblLook w:val="04A0" w:firstRow="1" w:lastRow="0" w:firstColumn="1" w:lastColumn="0" w:noHBand="0" w:noVBand="1"/>
      </w:tblPr>
      <w:tblGrid>
        <w:gridCol w:w="1037"/>
        <w:gridCol w:w="8136"/>
        <w:gridCol w:w="893"/>
      </w:tblGrid>
      <w:tr w:rsidR="00D81C8B" w14:paraId="37175BF5" w14:textId="77777777">
        <w:trPr>
          <w:cantSplit/>
        </w:trPr>
        <w:tc>
          <w:tcPr>
            <w:tcW w:w="1037" w:type="dxa"/>
            <w:tcBorders>
              <w:top w:val="nil"/>
              <w:left w:val="nil"/>
              <w:bottom w:val="single" w:sz="4" w:space="0" w:color="E6E6E6"/>
              <w:right w:val="nil"/>
            </w:tcBorders>
            <w:tcMar>
              <w:top w:w="30" w:type="dxa"/>
              <w:left w:w="20" w:type="dxa"/>
              <w:bottom w:w="30" w:type="dxa"/>
              <w:right w:w="20" w:type="dxa"/>
            </w:tcMar>
          </w:tcPr>
          <w:p w14:paraId="2480CD13" w14:textId="77777777" w:rsidR="00D81C8B" w:rsidRDefault="00456096">
            <w:pPr>
              <w:spacing w:after="0"/>
            </w:pPr>
            <w:r>
              <w:rPr>
                <w:b/>
              </w:rPr>
              <w:t>Certificate</w:t>
            </w:r>
          </w:p>
        </w:tc>
        <w:tc>
          <w:tcPr>
            <w:tcW w:w="8136" w:type="dxa"/>
            <w:tcBorders>
              <w:top w:val="nil"/>
              <w:left w:val="nil"/>
              <w:bottom w:val="single" w:sz="4" w:space="0" w:color="E6E6E6"/>
              <w:right w:val="nil"/>
            </w:tcBorders>
            <w:tcMar>
              <w:top w:w="30" w:type="dxa"/>
              <w:left w:w="20" w:type="dxa"/>
              <w:bottom w:w="30" w:type="dxa"/>
              <w:right w:w="20" w:type="dxa"/>
            </w:tcMar>
          </w:tcPr>
          <w:p w14:paraId="7C4822E5" w14:textId="77777777" w:rsidR="00D81C8B" w:rsidRDefault="00456096">
            <w:pPr>
              <w:spacing w:after="0"/>
            </w:pPr>
            <w:r>
              <w:t>Diversity, Equity &amp; Inclusion, Cornell University</w:t>
            </w:r>
          </w:p>
        </w:tc>
        <w:tc>
          <w:tcPr>
            <w:tcW w:w="893" w:type="dxa"/>
            <w:tcBorders>
              <w:top w:val="nil"/>
              <w:left w:val="nil"/>
              <w:bottom w:val="single" w:sz="4" w:space="0" w:color="E6E6E6"/>
              <w:right w:val="nil"/>
            </w:tcBorders>
            <w:tcMar>
              <w:top w:w="30" w:type="dxa"/>
              <w:left w:w="20" w:type="dxa"/>
              <w:bottom w:w="30" w:type="dxa"/>
              <w:right w:w="20" w:type="dxa"/>
            </w:tcMar>
          </w:tcPr>
          <w:p w14:paraId="766FB8F4" w14:textId="77777777" w:rsidR="00D81C8B" w:rsidRDefault="00456096">
            <w:pPr>
              <w:spacing w:after="0"/>
              <w:jc w:val="right"/>
            </w:pPr>
            <w:r>
              <w:t>2023</w:t>
            </w:r>
          </w:p>
        </w:tc>
      </w:tr>
      <w:tr w:rsidR="00D81C8B" w14:paraId="5BDB6BC7" w14:textId="77777777">
        <w:trPr>
          <w:cantSplit/>
        </w:trPr>
        <w:tc>
          <w:tcPr>
            <w:tcW w:w="1037" w:type="dxa"/>
            <w:tcBorders>
              <w:top w:val="nil"/>
              <w:left w:val="nil"/>
              <w:bottom w:val="single" w:sz="4" w:space="0" w:color="E6E6E6"/>
              <w:right w:val="nil"/>
            </w:tcBorders>
            <w:tcMar>
              <w:top w:w="30" w:type="dxa"/>
              <w:left w:w="20" w:type="dxa"/>
              <w:bottom w:w="30" w:type="dxa"/>
              <w:right w:w="20" w:type="dxa"/>
            </w:tcMar>
          </w:tcPr>
          <w:p w14:paraId="162F8E76" w14:textId="77777777" w:rsidR="00D81C8B" w:rsidRDefault="00456096">
            <w:pPr>
              <w:spacing w:after="0"/>
            </w:pPr>
            <w:r>
              <w:rPr>
                <w:b/>
              </w:rPr>
              <w:t>PhD</w:t>
            </w:r>
          </w:p>
        </w:tc>
        <w:tc>
          <w:tcPr>
            <w:tcW w:w="8136" w:type="dxa"/>
            <w:tcBorders>
              <w:top w:val="nil"/>
              <w:left w:val="nil"/>
              <w:bottom w:val="single" w:sz="4" w:space="0" w:color="E6E6E6"/>
              <w:right w:val="nil"/>
            </w:tcBorders>
            <w:tcMar>
              <w:top w:w="30" w:type="dxa"/>
              <w:left w:w="20" w:type="dxa"/>
              <w:bottom w:w="30" w:type="dxa"/>
              <w:right w:w="20" w:type="dxa"/>
            </w:tcMar>
          </w:tcPr>
          <w:p w14:paraId="39791125" w14:textId="77777777" w:rsidR="00D81C8B" w:rsidRDefault="00456096">
            <w:pPr>
              <w:spacing w:after="0"/>
            </w:pPr>
            <w:r>
              <w:t>Ecology and Evolutionary Biology, Cornell University</w:t>
            </w:r>
          </w:p>
        </w:tc>
        <w:tc>
          <w:tcPr>
            <w:tcW w:w="893" w:type="dxa"/>
            <w:tcBorders>
              <w:top w:val="nil"/>
              <w:left w:val="nil"/>
              <w:bottom w:val="single" w:sz="4" w:space="0" w:color="E6E6E6"/>
              <w:right w:val="nil"/>
            </w:tcBorders>
            <w:tcMar>
              <w:top w:w="30" w:type="dxa"/>
              <w:left w:w="20" w:type="dxa"/>
              <w:bottom w:w="30" w:type="dxa"/>
              <w:right w:w="20" w:type="dxa"/>
            </w:tcMar>
          </w:tcPr>
          <w:p w14:paraId="74938ED5" w14:textId="77777777" w:rsidR="00D81C8B" w:rsidRDefault="00456096">
            <w:pPr>
              <w:spacing w:after="0"/>
              <w:jc w:val="right"/>
            </w:pPr>
            <w:r>
              <w:t>2006</w:t>
            </w:r>
          </w:p>
        </w:tc>
      </w:tr>
      <w:tr w:rsidR="00D81C8B" w14:paraId="5BF73BF7" w14:textId="77777777">
        <w:trPr>
          <w:cantSplit/>
        </w:trPr>
        <w:tc>
          <w:tcPr>
            <w:tcW w:w="1037" w:type="dxa"/>
            <w:tcBorders>
              <w:top w:val="nil"/>
              <w:left w:val="nil"/>
              <w:bottom w:val="single" w:sz="4" w:space="0" w:color="E6E6E6"/>
              <w:right w:val="nil"/>
            </w:tcBorders>
            <w:tcMar>
              <w:top w:w="30" w:type="dxa"/>
              <w:left w:w="20" w:type="dxa"/>
              <w:bottom w:w="30" w:type="dxa"/>
              <w:right w:w="20" w:type="dxa"/>
            </w:tcMar>
          </w:tcPr>
          <w:p w14:paraId="0BC28870" w14:textId="77777777" w:rsidR="00D81C8B" w:rsidRDefault="00456096">
            <w:pPr>
              <w:spacing w:after="0"/>
            </w:pPr>
            <w:r>
              <w:rPr>
                <w:b/>
              </w:rPr>
              <w:t>MS</w:t>
            </w:r>
          </w:p>
        </w:tc>
        <w:tc>
          <w:tcPr>
            <w:tcW w:w="8136" w:type="dxa"/>
            <w:tcBorders>
              <w:top w:val="nil"/>
              <w:left w:val="nil"/>
              <w:bottom w:val="single" w:sz="4" w:space="0" w:color="E6E6E6"/>
              <w:right w:val="nil"/>
            </w:tcBorders>
            <w:tcMar>
              <w:top w:w="30" w:type="dxa"/>
              <w:left w:w="20" w:type="dxa"/>
              <w:bottom w:w="30" w:type="dxa"/>
              <w:right w:w="20" w:type="dxa"/>
            </w:tcMar>
          </w:tcPr>
          <w:p w14:paraId="40F8EDAE" w14:textId="77777777" w:rsidR="00D81C8B" w:rsidRDefault="00456096">
            <w:pPr>
              <w:spacing w:after="0"/>
            </w:pPr>
            <w:r>
              <w:t>Biology, Villanova University</w:t>
            </w:r>
          </w:p>
        </w:tc>
        <w:tc>
          <w:tcPr>
            <w:tcW w:w="893" w:type="dxa"/>
            <w:tcBorders>
              <w:top w:val="nil"/>
              <w:left w:val="nil"/>
              <w:bottom w:val="single" w:sz="4" w:space="0" w:color="E6E6E6"/>
              <w:right w:val="nil"/>
            </w:tcBorders>
            <w:tcMar>
              <w:top w:w="30" w:type="dxa"/>
              <w:left w:w="20" w:type="dxa"/>
              <w:bottom w:w="30" w:type="dxa"/>
              <w:right w:w="20" w:type="dxa"/>
            </w:tcMar>
          </w:tcPr>
          <w:p w14:paraId="28C30082" w14:textId="77777777" w:rsidR="00D81C8B" w:rsidRDefault="00456096">
            <w:pPr>
              <w:spacing w:after="0"/>
              <w:jc w:val="right"/>
            </w:pPr>
            <w:r>
              <w:t>2001</w:t>
            </w:r>
          </w:p>
        </w:tc>
      </w:tr>
      <w:tr w:rsidR="00D81C8B" w14:paraId="4EA0C3F6" w14:textId="77777777">
        <w:trPr>
          <w:cantSplit/>
        </w:trPr>
        <w:tc>
          <w:tcPr>
            <w:tcW w:w="1037" w:type="dxa"/>
            <w:tcBorders>
              <w:top w:val="nil"/>
              <w:left w:val="nil"/>
              <w:bottom w:val="single" w:sz="4" w:space="0" w:color="E6E6E6"/>
              <w:right w:val="nil"/>
            </w:tcBorders>
            <w:tcMar>
              <w:top w:w="30" w:type="dxa"/>
              <w:left w:w="20" w:type="dxa"/>
              <w:bottom w:w="30" w:type="dxa"/>
              <w:right w:w="20" w:type="dxa"/>
            </w:tcMar>
          </w:tcPr>
          <w:p w14:paraId="36C44A2C" w14:textId="77777777" w:rsidR="00D81C8B" w:rsidRDefault="00456096">
            <w:pPr>
              <w:spacing w:after="0"/>
            </w:pPr>
            <w:r>
              <w:rPr>
                <w:b/>
              </w:rPr>
              <w:t>BS</w:t>
            </w:r>
          </w:p>
        </w:tc>
        <w:tc>
          <w:tcPr>
            <w:tcW w:w="8136" w:type="dxa"/>
            <w:tcBorders>
              <w:top w:val="nil"/>
              <w:left w:val="nil"/>
              <w:bottom w:val="single" w:sz="4" w:space="0" w:color="E6E6E6"/>
              <w:right w:val="nil"/>
            </w:tcBorders>
            <w:tcMar>
              <w:top w:w="30" w:type="dxa"/>
              <w:left w:w="20" w:type="dxa"/>
              <w:bottom w:w="30" w:type="dxa"/>
              <w:right w:w="20" w:type="dxa"/>
            </w:tcMar>
          </w:tcPr>
          <w:p w14:paraId="235E52DA" w14:textId="77777777" w:rsidR="00D81C8B" w:rsidRDefault="00456096">
            <w:pPr>
              <w:spacing w:after="0"/>
            </w:pPr>
            <w:r>
              <w:t>Biology, Dickinson College</w:t>
            </w:r>
          </w:p>
        </w:tc>
        <w:tc>
          <w:tcPr>
            <w:tcW w:w="893" w:type="dxa"/>
            <w:tcBorders>
              <w:top w:val="nil"/>
              <w:left w:val="nil"/>
              <w:bottom w:val="single" w:sz="4" w:space="0" w:color="E6E6E6"/>
              <w:right w:val="nil"/>
            </w:tcBorders>
            <w:tcMar>
              <w:top w:w="30" w:type="dxa"/>
              <w:left w:w="20" w:type="dxa"/>
              <w:bottom w:w="30" w:type="dxa"/>
              <w:right w:w="20" w:type="dxa"/>
            </w:tcMar>
          </w:tcPr>
          <w:p w14:paraId="749D3901" w14:textId="77777777" w:rsidR="00D81C8B" w:rsidRDefault="00456096">
            <w:pPr>
              <w:spacing w:after="0"/>
              <w:jc w:val="right"/>
            </w:pPr>
            <w:r>
              <w:t>1995</w:t>
            </w:r>
          </w:p>
        </w:tc>
      </w:tr>
    </w:tbl>
    <w:p w14:paraId="088AA417" w14:textId="77777777" w:rsidR="00D81C8B" w:rsidRDefault="00456096">
      <w:pPr>
        <w:keepNext/>
        <w:pBdr>
          <w:bottom w:val="single" w:sz="8" w:space="3" w:color="8B0A26"/>
        </w:pBdr>
        <w:spacing w:before="160" w:after="80"/>
      </w:pPr>
      <w:r>
        <w:rPr>
          <w:b/>
          <w:color w:val="8B0A26"/>
          <w:sz w:val="22"/>
        </w:rPr>
        <w:t>ACADEMIC APPOINTMENTS</w:t>
      </w:r>
    </w:p>
    <w:p w14:paraId="49C5B32A" w14:textId="77777777" w:rsidR="00D81C8B" w:rsidRDefault="00456096">
      <w:pPr>
        <w:tabs>
          <w:tab w:val="right" w:pos="10080"/>
        </w:tabs>
        <w:spacing w:after="20"/>
      </w:pPr>
      <w:r>
        <w:t>Professor, Biology, Boston University, College of Arts &amp; Sciences</w:t>
      </w:r>
      <w:r>
        <w:rPr>
          <w:color w:val="5D5D5D"/>
        </w:rPr>
        <w:tab/>
        <w:t>2022-present</w:t>
      </w:r>
    </w:p>
    <w:p w14:paraId="40771D90" w14:textId="77777777" w:rsidR="00D81C8B" w:rsidRDefault="00456096">
      <w:pPr>
        <w:tabs>
          <w:tab w:val="right" w:pos="10080"/>
        </w:tabs>
        <w:spacing w:after="20"/>
      </w:pPr>
      <w:r>
        <w:t>Associate Professor, Biology, Boston University, College of Arts &amp; Sciences</w:t>
      </w:r>
      <w:r>
        <w:rPr>
          <w:color w:val="5D5D5D"/>
        </w:rPr>
        <w:tab/>
        <w:t>2016-2021</w:t>
      </w:r>
    </w:p>
    <w:p w14:paraId="34B5E5D8" w14:textId="77777777" w:rsidR="00D81C8B" w:rsidRDefault="00456096">
      <w:pPr>
        <w:tabs>
          <w:tab w:val="right" w:pos="10080"/>
        </w:tabs>
        <w:spacing w:after="20"/>
      </w:pPr>
      <w:r>
        <w:t>Assistant Professor, Biology, Boston University, College of Arts &amp; Sciences</w:t>
      </w:r>
      <w:r>
        <w:rPr>
          <w:color w:val="5D5D5D"/>
        </w:rPr>
        <w:tab/>
        <w:t>2010-2016</w:t>
      </w:r>
    </w:p>
    <w:p w14:paraId="413F62B7" w14:textId="77777777" w:rsidR="00D81C8B" w:rsidRDefault="00456096">
      <w:pPr>
        <w:tabs>
          <w:tab w:val="right" w:pos="10080"/>
        </w:tabs>
        <w:spacing w:after="20"/>
      </w:pPr>
      <w:r>
        <w:t>Visiting Researcher, Ecology &amp; Evolutionary Biology, University of Colorado Boulder</w:t>
      </w:r>
      <w:r>
        <w:rPr>
          <w:color w:val="5D5D5D"/>
        </w:rPr>
        <w:tab/>
        <w:t>2018-2019</w:t>
      </w:r>
    </w:p>
    <w:p w14:paraId="37BAD8C1" w14:textId="77777777" w:rsidR="00D81C8B" w:rsidRDefault="00456096">
      <w:pPr>
        <w:tabs>
          <w:tab w:val="right" w:pos="10080"/>
        </w:tabs>
        <w:spacing w:after="20"/>
      </w:pPr>
      <w:r>
        <w:t>Assistant Professor, Biological Sciences, Lehigh University, College of Arts &amp; Sciences</w:t>
      </w:r>
      <w:r>
        <w:rPr>
          <w:color w:val="5D5D5D"/>
        </w:rPr>
        <w:tab/>
        <w:t>2007-2010</w:t>
      </w:r>
    </w:p>
    <w:p w14:paraId="161A2887" w14:textId="77777777" w:rsidR="00D81C8B" w:rsidRDefault="00456096">
      <w:pPr>
        <w:tabs>
          <w:tab w:val="right" w:pos="10080"/>
        </w:tabs>
        <w:spacing w:after="20"/>
      </w:pPr>
      <w:r>
        <w:t>NIMH NRSA Postdoctoral Research Fellow, Biology, University of Maryland, College Park</w:t>
      </w:r>
      <w:r>
        <w:rPr>
          <w:color w:val="5D5D5D"/>
        </w:rPr>
        <w:tab/>
        <w:t>2005-2007</w:t>
      </w:r>
    </w:p>
    <w:p w14:paraId="0491704E" w14:textId="77777777" w:rsidR="00D81C8B" w:rsidRDefault="00456096">
      <w:pPr>
        <w:keepNext/>
        <w:pBdr>
          <w:bottom w:val="single" w:sz="8" w:space="3" w:color="8B0A26"/>
        </w:pBdr>
        <w:spacing w:before="180" w:after="80"/>
      </w:pPr>
      <w:r>
        <w:rPr>
          <w:b/>
          <w:color w:val="8B0A26"/>
          <w:sz w:val="22"/>
        </w:rPr>
        <w:t>SENIOR ACADEMIC LEADERSHIP EXPERIENCE</w:t>
      </w:r>
    </w:p>
    <w:tbl>
      <w:tblPr>
        <w:tblW w:w="0" w:type="auto"/>
        <w:tblLayout w:type="fixed"/>
        <w:tblLook w:val="04A0" w:firstRow="1" w:lastRow="0" w:firstColumn="1" w:lastColumn="0" w:noHBand="0" w:noVBand="1"/>
      </w:tblPr>
      <w:tblGrid>
        <w:gridCol w:w="5083"/>
        <w:gridCol w:w="5083"/>
      </w:tblGrid>
      <w:tr w:rsidR="00D81C8B" w14:paraId="6B7D735E" w14:textId="77777777">
        <w:trPr>
          <w:cantSplit/>
        </w:trPr>
        <w:tc>
          <w:tcPr>
            <w:tcW w:w="5083" w:type="dxa"/>
            <w:tcBorders>
              <w:top w:val="nil"/>
              <w:left w:val="nil"/>
              <w:bottom w:val="nil"/>
              <w:right w:val="nil"/>
            </w:tcBorders>
            <w:tcMar>
              <w:top w:w="80" w:type="dxa"/>
              <w:left w:w="0" w:type="dxa"/>
              <w:bottom w:w="20" w:type="dxa"/>
              <w:right w:w="0" w:type="dxa"/>
            </w:tcMar>
          </w:tcPr>
          <w:p w14:paraId="5A8E08B9" w14:textId="77777777" w:rsidR="00D81C8B" w:rsidRDefault="00456096">
            <w:pPr>
              <w:spacing w:after="0"/>
            </w:pPr>
            <w:r>
              <w:rPr>
                <w:b/>
                <w:color w:val="8B0A26"/>
                <w:sz w:val="21"/>
              </w:rPr>
              <w:t>Associate Provost for Graduate Affairs, Boston University</w:t>
            </w:r>
          </w:p>
        </w:tc>
        <w:tc>
          <w:tcPr>
            <w:tcW w:w="5083" w:type="dxa"/>
            <w:tcBorders>
              <w:top w:val="nil"/>
              <w:left w:val="nil"/>
              <w:bottom w:val="nil"/>
              <w:right w:val="nil"/>
            </w:tcBorders>
            <w:tcMar>
              <w:top w:w="80" w:type="dxa"/>
              <w:left w:w="0" w:type="dxa"/>
              <w:bottom w:w="20" w:type="dxa"/>
              <w:right w:w="0" w:type="dxa"/>
            </w:tcMar>
          </w:tcPr>
          <w:p w14:paraId="15F17761" w14:textId="77777777" w:rsidR="00D81C8B" w:rsidRDefault="00456096">
            <w:pPr>
              <w:spacing w:after="0"/>
              <w:jc w:val="right"/>
            </w:pPr>
            <w:r>
              <w:rPr>
                <w:i/>
                <w:color w:val="5D5D5D"/>
              </w:rPr>
              <w:t>January 2025-present</w:t>
            </w:r>
          </w:p>
        </w:tc>
      </w:tr>
    </w:tbl>
    <w:p w14:paraId="46BFC0A7" w14:textId="77777777" w:rsidR="00D81C8B" w:rsidRDefault="00456096">
      <w:pPr>
        <w:keepNext/>
        <w:spacing w:before="60"/>
      </w:pPr>
      <w:r>
        <w:rPr>
          <w:b/>
          <w:color w:val="8B0A26"/>
        </w:rPr>
        <w:t>Scope of responsibility</w:t>
      </w:r>
    </w:p>
    <w:p w14:paraId="454EA8E6" w14:textId="77777777" w:rsidR="00D81C8B" w:rsidRDefault="00456096">
      <w:pPr>
        <w:ind w:left="317" w:hanging="230"/>
      </w:pPr>
      <w:r>
        <w:t>•  Lead graduate academic policy, planning, and governance serving more than 18,000 graduate and professional students.</w:t>
      </w:r>
    </w:p>
    <w:p w14:paraId="75B25E69" w14:textId="77777777" w:rsidR="00D81C8B" w:rsidRDefault="00456096">
      <w:pPr>
        <w:ind w:left="317" w:hanging="230"/>
      </w:pPr>
      <w:r>
        <w:t>•  Oversee approximately $3.6M in recurring annual funds and lead a 21-person portfolio spanning policy, enrollment, academic labor, student support, data, and operations.</w:t>
      </w:r>
    </w:p>
    <w:p w14:paraId="56DCE0B3" w14:textId="77777777" w:rsidR="00D81C8B" w:rsidRDefault="00456096">
      <w:pPr>
        <w:ind w:left="317" w:hanging="230"/>
      </w:pPr>
      <w:r>
        <w:t>•  Guide graduate admissions and enrollment strategy with Graduate Enrollment and the schools and colleges, including recruitment, yield, market analysis, pricing, and enrollment target-setting.</w:t>
      </w:r>
    </w:p>
    <w:p w14:paraId="72A504EC" w14:textId="77777777" w:rsidR="00D81C8B" w:rsidRDefault="00456096">
      <w:pPr>
        <w:ind w:left="317" w:hanging="230"/>
      </w:pPr>
      <w:r>
        <w:t>•  Partner with BU Virtual and academic units on new program development and online graduate programs totaling approximately 40,000 annual course enrollments.</w:t>
      </w:r>
    </w:p>
    <w:p w14:paraId="3FBAC007" w14:textId="77777777" w:rsidR="00D81C8B" w:rsidRDefault="00456096">
      <w:pPr>
        <w:ind w:left="317" w:hanging="230"/>
      </w:pPr>
      <w:r>
        <w:t>•  Lead academic coordination for implementation of the Boston University Graduate Workers Union collective bargaining agreement, including policy interpretation, workload processes, grievances, and partnership with Labor Relations and the Office of General Counsel.</w:t>
      </w:r>
    </w:p>
    <w:p w14:paraId="7A65B4C4" w14:textId="77777777" w:rsidR="00D81C8B" w:rsidRDefault="00456096">
      <w:pPr>
        <w:ind w:left="317" w:hanging="230"/>
      </w:pPr>
      <w:r>
        <w:t>•  Preside over the Graduate Academic Program Policy Committee; facilitate the University Graduate Fellowships Program, coordinate Responsible Conduct of Research training, and oversee the interdisciplinary Graduate Program in Neuroscience.</w:t>
      </w:r>
    </w:p>
    <w:p w14:paraId="2AD4B672" w14:textId="77777777" w:rsidR="00D81C8B" w:rsidRDefault="00456096">
      <w:pPr>
        <w:ind w:left="317" w:hanging="230"/>
      </w:pPr>
      <w:r>
        <w:t>•  Serve on the Provost's Cabinet, Dean's Council, University Leadership Group, University Council, Campus Framework Steering Committee, and other university-wide planning and advisory bodies.</w:t>
      </w:r>
    </w:p>
    <w:p w14:paraId="3D67F4D4" w14:textId="77777777" w:rsidR="00D81C8B" w:rsidRDefault="00456096">
      <w:pPr>
        <w:keepNext/>
        <w:spacing w:before="60"/>
      </w:pPr>
      <w:r>
        <w:rPr>
          <w:b/>
          <w:color w:val="8B0A26"/>
        </w:rPr>
        <w:t>Selected accomplishments</w:t>
      </w:r>
    </w:p>
    <w:p w14:paraId="58283272" w14:textId="77777777" w:rsidR="00D81C8B" w:rsidRDefault="00456096">
      <w:pPr>
        <w:ind w:left="317" w:hanging="230"/>
      </w:pPr>
      <w:r>
        <w:t>•  Led implementation of the integration of Graduate Affairs and Graduate Enrollment; hired two Assistant Provosts and established an Academic Labor Relations function.</w:t>
      </w:r>
    </w:p>
    <w:p w14:paraId="1924198E" w14:textId="77777777" w:rsidR="00D81C8B" w:rsidRDefault="00456096">
      <w:pPr>
        <w:ind w:left="317" w:hanging="230"/>
      </w:pPr>
      <w:r>
        <w:t>•  Established a cross-functional review of collective bargaining implementation to document operational effects, standardize workflows, clarify workload and additional-work processes, and inform future policy and negotiations.</w:t>
      </w:r>
    </w:p>
    <w:p w14:paraId="18F523C5" w14:textId="77777777" w:rsidR="00D81C8B" w:rsidRDefault="00456096">
      <w:pPr>
        <w:ind w:left="317" w:hanging="230"/>
      </w:pPr>
      <w:r>
        <w:t>•  Developed an enterprise model distinguishing local academic authority, shared partnerships, and central infrastructure to clarify decision rights, reduce duplication, lower risk, and strengthen enrollment.</w:t>
      </w:r>
    </w:p>
    <w:p w14:paraId="0F6A057A" w14:textId="77777777" w:rsidR="00D81C8B" w:rsidRDefault="00456096">
      <w:pPr>
        <w:ind w:left="317" w:hanging="230"/>
      </w:pPr>
      <w:r>
        <w:t>•  Led development and successful advocacy for a CAS doctoral funding framework that provides additional ongoing central support for humanities and social science PhD programs and strengthens long-term financial and instructional planning.</w:t>
      </w:r>
    </w:p>
    <w:p w14:paraId="7160C2AE" w14:textId="77777777" w:rsidR="00D81C8B" w:rsidRDefault="00456096">
      <w:pPr>
        <w:ind w:left="317" w:hanging="230"/>
      </w:pPr>
      <w:r>
        <w:t>•  Developed related doctoral admissions, program-size, funding, and instructional models with Communication and Medicine; launched university review of graduate tuition models and tuition-sharing arrangements to improve incentive alignment and financial sustainability.</w:t>
      </w:r>
    </w:p>
    <w:p w14:paraId="2819713E" w14:textId="77777777" w:rsidR="00D81C8B" w:rsidRDefault="00456096">
      <w:pPr>
        <w:ind w:left="317" w:hanging="230"/>
      </w:pPr>
      <w:r>
        <w:t xml:space="preserve">•  </w:t>
      </w:r>
      <w:r w:rsidR="003B6E09">
        <w:t>Improved existing automated</w:t>
      </w:r>
      <w:r>
        <w:t xml:space="preserve"> PhD enrollment profiles and master's program health checks and initiated a broader modernization of graduate data collection, reporting, and outcomes tracking.</w:t>
      </w:r>
    </w:p>
    <w:p w14:paraId="731A1DE1" w14:textId="77777777" w:rsidR="00D81C8B" w:rsidRDefault="00456096">
      <w:pPr>
        <w:ind w:left="317" w:hanging="230"/>
      </w:pPr>
      <w:r>
        <w:t>•  Partnered with Undergraduate Affairs to realign recurring funds that sustain a Graduate Writing Director in the Educational Resource Center and annually support graduate writing assistants who lead undergraduate workshops.</w:t>
      </w:r>
    </w:p>
    <w:p w14:paraId="4BF93015" w14:textId="77777777" w:rsidR="00D81C8B" w:rsidRDefault="00456096">
      <w:pPr>
        <w:ind w:left="317" w:hanging="230"/>
      </w:pPr>
      <w:r>
        <w:t xml:space="preserve">•  </w:t>
      </w:r>
      <w:r w:rsidR="003B6E09">
        <w:t xml:space="preserve">Initiated </w:t>
      </w:r>
      <w:r>
        <w:t>stabilization and governance review of the Graduate Program in Neuroscience, including program self-study, cross-campus coordination, and preparation for external review.</w:t>
      </w:r>
    </w:p>
    <w:p w14:paraId="31B66C52" w14:textId="77777777" w:rsidR="00D81C8B" w:rsidRDefault="00456096">
      <w:pPr>
        <w:ind w:left="317" w:hanging="230"/>
      </w:pPr>
      <w:r>
        <w:t>•  Led a rebuild of the Graduate Affairs website, scheduled to launch in August 2026, to improve transparency, policy access, professional-development visibility, and service.</w:t>
      </w:r>
    </w:p>
    <w:tbl>
      <w:tblPr>
        <w:tblW w:w="12643" w:type="dxa"/>
        <w:tblLayout w:type="fixed"/>
        <w:tblLook w:val="04A0" w:firstRow="1" w:lastRow="0" w:firstColumn="1" w:lastColumn="0" w:noHBand="0" w:noVBand="1"/>
      </w:tblPr>
      <w:tblGrid>
        <w:gridCol w:w="7560"/>
        <w:gridCol w:w="5083"/>
      </w:tblGrid>
      <w:tr w:rsidR="00D81C8B" w14:paraId="4B36006D" w14:textId="77777777" w:rsidTr="002D1E04">
        <w:trPr>
          <w:cantSplit/>
        </w:trPr>
        <w:tc>
          <w:tcPr>
            <w:tcW w:w="7560" w:type="dxa"/>
            <w:tcBorders>
              <w:top w:val="nil"/>
              <w:left w:val="nil"/>
              <w:bottom w:val="nil"/>
              <w:right w:val="nil"/>
            </w:tcBorders>
            <w:tcMar>
              <w:top w:w="80" w:type="dxa"/>
              <w:left w:w="0" w:type="dxa"/>
              <w:bottom w:w="20" w:type="dxa"/>
              <w:right w:w="0" w:type="dxa"/>
            </w:tcMar>
          </w:tcPr>
          <w:p w14:paraId="3E6665B3" w14:textId="16E47FB5" w:rsidR="00D81C8B" w:rsidRDefault="00456096">
            <w:pPr>
              <w:spacing w:after="0"/>
            </w:pPr>
            <w:r>
              <w:rPr>
                <w:b/>
                <w:color w:val="8B0A26"/>
                <w:sz w:val="21"/>
              </w:rPr>
              <w:t>Associate Dean of the Faculty for the Natural Sciences, College of Arts &amp; Sciences</w:t>
            </w:r>
          </w:p>
        </w:tc>
        <w:tc>
          <w:tcPr>
            <w:tcW w:w="5083" w:type="dxa"/>
            <w:tcBorders>
              <w:top w:val="nil"/>
              <w:left w:val="nil"/>
              <w:bottom w:val="nil"/>
              <w:right w:val="nil"/>
            </w:tcBorders>
            <w:tcMar>
              <w:top w:w="80" w:type="dxa"/>
              <w:left w:w="0" w:type="dxa"/>
              <w:bottom w:w="20" w:type="dxa"/>
              <w:right w:w="0" w:type="dxa"/>
            </w:tcMar>
          </w:tcPr>
          <w:p w14:paraId="79584AAE" w14:textId="508A3A82" w:rsidR="00083576" w:rsidRDefault="00381475" w:rsidP="002D1E04">
            <w:pPr>
              <w:ind w:left="1395" w:hanging="1395"/>
            </w:pPr>
            <w:r>
              <w:t>Associate Dean 202</w:t>
            </w:r>
            <w:r w:rsidR="002D1E04">
              <w:t>2</w:t>
            </w:r>
            <w:r>
              <w:t>-2025</w:t>
            </w:r>
          </w:p>
        </w:tc>
      </w:tr>
    </w:tbl>
    <w:p w14:paraId="71BB422B" w14:textId="77777777" w:rsidR="00D81C8B" w:rsidRDefault="00456096">
      <w:pPr>
        <w:keepNext/>
        <w:spacing w:before="60"/>
      </w:pPr>
      <w:r>
        <w:rPr>
          <w:b/>
          <w:color w:val="8B0A26"/>
        </w:rPr>
        <w:t>Scope of responsibility</w:t>
      </w:r>
    </w:p>
    <w:p w14:paraId="37E64D07" w14:textId="77777777" w:rsidR="00D81C8B" w:rsidRDefault="00456096">
      <w:pPr>
        <w:ind w:left="317" w:hanging="230"/>
      </w:pPr>
      <w:r>
        <w:t>•  Served as senior divisional advisor to the CAS Dean on faculty affairs, academic planning, program review, research infrastructure, space, funding, and faculty performance across the natural sciences.</w:t>
      </w:r>
    </w:p>
    <w:p w14:paraId="1925E47B" w14:textId="77777777" w:rsidR="00D81C8B" w:rsidRDefault="00456096">
      <w:pPr>
        <w:ind w:left="317" w:hanging="230"/>
      </w:pPr>
      <w:r>
        <w:t>•  Represented the natural sciences on the Provost's Research Council and Faculty Affairs Council and partnered with deans, chairs, and central academic leaders across Boston University.</w:t>
      </w:r>
    </w:p>
    <w:p w14:paraId="5DBAFB7A" w14:textId="77777777" w:rsidR="00D81C8B" w:rsidRDefault="00456096">
      <w:pPr>
        <w:ind w:left="317" w:hanging="230"/>
      </w:pPr>
      <w:r>
        <w:t>•  Led faculty hiring strategy, candidate review, offer development, startup packages, retention work, and tenure-stream and lecturer advancement processes.</w:t>
      </w:r>
    </w:p>
    <w:p w14:paraId="694E6B62" w14:textId="77777777" w:rsidR="00D81C8B" w:rsidRDefault="00456096">
      <w:pPr>
        <w:ind w:left="317" w:hanging="230"/>
      </w:pPr>
      <w:r>
        <w:t>•  Oversaw retirement negotiations, research faculty and postdoctoral appointments, discretionary funding, cost sharing, indirect-cost issues, instrumentation requests, and space and renovation needs.</w:t>
      </w:r>
    </w:p>
    <w:p w14:paraId="007A764E" w14:textId="77777777" w:rsidR="00D81C8B" w:rsidRDefault="00456096">
      <w:pPr>
        <w:ind w:left="317" w:hanging="230"/>
      </w:pPr>
      <w:r>
        <w:t>•  Addressed sensitive personnel and conduct matters in partnership with the Dean, Equal Opportunity Office, and other university offices.</w:t>
      </w:r>
    </w:p>
    <w:p w14:paraId="751950CB" w14:textId="77777777" w:rsidR="00D81C8B" w:rsidRDefault="00456096">
      <w:pPr>
        <w:keepNext/>
        <w:spacing w:before="60"/>
      </w:pPr>
      <w:r>
        <w:rPr>
          <w:b/>
          <w:color w:val="8B0A26"/>
        </w:rPr>
        <w:t>Selected accomplishments</w:t>
      </w:r>
    </w:p>
    <w:p w14:paraId="673D805E" w14:textId="77777777" w:rsidR="00D81C8B" w:rsidRDefault="00456096">
      <w:pPr>
        <w:ind w:left="317" w:hanging="230"/>
      </w:pPr>
      <w:r>
        <w:t>•  Led recruitment and hiring of 21 faculty: 18 tenure-stream hires (three at senior rank) and three lecturers/instructors.</w:t>
      </w:r>
    </w:p>
    <w:p w14:paraId="3D728EDC" w14:textId="77777777" w:rsidR="00D81C8B" w:rsidRDefault="00456096">
      <w:pPr>
        <w:ind w:left="317" w:hanging="230"/>
      </w:pPr>
      <w:r>
        <w:t>•  Oversaw 28 successful promotion cases, including 15 promotions to tenured associate professor, six to full professor, five to senior lecturer, and two to master lecturer, as well as eight mid-tenure reviews.</w:t>
      </w:r>
    </w:p>
    <w:p w14:paraId="6EDF594C" w14:textId="77777777" w:rsidR="00D81C8B" w:rsidRDefault="00456096">
      <w:pPr>
        <w:ind w:left="317" w:hanging="230"/>
      </w:pPr>
      <w:r>
        <w:t>•  Led interdisciplinary faculty hiring initiatives in quantum science and engineering, global change and sustainability, and neuroscience and supported an endowed chair search in environmental data science.</w:t>
      </w:r>
    </w:p>
    <w:p w14:paraId="0971AE7A" w14:textId="77777777" w:rsidR="00D81C8B" w:rsidRDefault="00456096">
      <w:pPr>
        <w:ind w:left="317" w:hanging="230"/>
      </w:pPr>
      <w:r>
        <w:t>•  Proposed and led creation of the CAS Director of Research Administration role and chaired the inaugural search, strengthening support for more than 400 faculty proposal submissions annually.</w:t>
      </w:r>
    </w:p>
    <w:p w14:paraId="693F2727" w14:textId="77777777" w:rsidR="00D81C8B" w:rsidRDefault="00456096">
      <w:pPr>
        <w:ind w:left="317" w:hanging="230"/>
      </w:pPr>
      <w:r>
        <w:t>•  Revised faculty search practices and partnered with faculty and institutional colleagues on bias-awareness workshops, structured dialogue, and leadership development.</w:t>
      </w:r>
    </w:p>
    <w:p w14:paraId="36CE0325" w14:textId="77777777" w:rsidR="00D81C8B" w:rsidRDefault="00456096">
      <w:pPr>
        <w:ind w:left="317" w:hanging="230"/>
      </w:pPr>
      <w:r>
        <w:t>•  Partnered with development and foundation-relations colleagues on donor cultivation and proposals supporting research, student access, and shared academic priorities.</w:t>
      </w:r>
    </w:p>
    <w:p w14:paraId="185B8593" w14:textId="77777777" w:rsidR="00D81C8B" w:rsidRDefault="00456096">
      <w:pPr>
        <w:ind w:left="317" w:hanging="230"/>
      </w:pPr>
      <w:r>
        <w:t>•  Co-led continuity planning during the graduate-worker strike to protect undergraduate laboratory instruction, grading, and academic progress.</w:t>
      </w:r>
    </w:p>
    <w:p w14:paraId="0A2017CC" w14:textId="77777777" w:rsidR="00D81C8B" w:rsidRDefault="00456096">
      <w:pPr>
        <w:ind w:left="317" w:hanging="230"/>
      </w:pPr>
      <w:r>
        <w:t>•  Renewed investments in shared chemistry instrumentation and maintained major research infrastructure, including the Perkins Telescope Observatory.</w:t>
      </w:r>
    </w:p>
    <w:p w14:paraId="0C3D93DA" w14:textId="77777777" w:rsidR="00D81C8B" w:rsidRDefault="00456096">
      <w:pPr>
        <w:keepNext/>
        <w:pBdr>
          <w:bottom w:val="single" w:sz="8" w:space="3" w:color="8B0A26"/>
        </w:pBdr>
        <w:spacing w:before="180" w:after="80"/>
      </w:pPr>
      <w:r>
        <w:rPr>
          <w:b/>
          <w:color w:val="8B0A26"/>
          <w:sz w:val="22"/>
        </w:rPr>
        <w:t>EARLIER ACADEMIC LEADERSHIP</w:t>
      </w:r>
    </w:p>
    <w:tbl>
      <w:tblPr>
        <w:tblW w:w="0" w:type="auto"/>
        <w:tblLayout w:type="fixed"/>
        <w:tblLook w:val="04A0" w:firstRow="1" w:lastRow="0" w:firstColumn="1" w:lastColumn="0" w:noHBand="0" w:noVBand="1"/>
      </w:tblPr>
      <w:tblGrid>
        <w:gridCol w:w="5083"/>
        <w:gridCol w:w="5083"/>
      </w:tblGrid>
      <w:tr w:rsidR="00D81C8B" w14:paraId="6BCB4C0F" w14:textId="77777777">
        <w:trPr>
          <w:cantSplit/>
        </w:trPr>
        <w:tc>
          <w:tcPr>
            <w:tcW w:w="5083" w:type="dxa"/>
            <w:tcBorders>
              <w:top w:val="nil"/>
              <w:left w:val="nil"/>
              <w:bottom w:val="nil"/>
              <w:right w:val="nil"/>
            </w:tcBorders>
            <w:tcMar>
              <w:top w:w="80" w:type="dxa"/>
              <w:left w:w="0" w:type="dxa"/>
              <w:bottom w:w="20" w:type="dxa"/>
              <w:right w:w="0" w:type="dxa"/>
            </w:tcMar>
          </w:tcPr>
          <w:p w14:paraId="315DC227" w14:textId="77777777" w:rsidR="00D81C8B" w:rsidRDefault="00456096">
            <w:pPr>
              <w:spacing w:after="0"/>
            </w:pPr>
            <w:r>
              <w:rPr>
                <w:b/>
                <w:color w:val="8B0A26"/>
                <w:sz w:val="21"/>
              </w:rPr>
              <w:t>Associate Chair of Ecology, Behavior, and Evolution, Biology Department, Boston University</w:t>
            </w:r>
          </w:p>
        </w:tc>
        <w:tc>
          <w:tcPr>
            <w:tcW w:w="5083" w:type="dxa"/>
            <w:tcBorders>
              <w:top w:val="nil"/>
              <w:left w:val="nil"/>
              <w:bottom w:val="nil"/>
              <w:right w:val="nil"/>
            </w:tcBorders>
            <w:tcMar>
              <w:top w:w="80" w:type="dxa"/>
              <w:left w:w="0" w:type="dxa"/>
              <w:bottom w:w="20" w:type="dxa"/>
              <w:right w:w="0" w:type="dxa"/>
            </w:tcMar>
          </w:tcPr>
          <w:p w14:paraId="74EE0F3B" w14:textId="77777777" w:rsidR="00D81C8B" w:rsidRDefault="00456096">
            <w:pPr>
              <w:spacing w:after="0"/>
              <w:jc w:val="right"/>
            </w:pPr>
            <w:r>
              <w:rPr>
                <w:i/>
                <w:color w:val="5D5D5D"/>
              </w:rPr>
              <w:t>2020-2022</w:t>
            </w:r>
          </w:p>
        </w:tc>
      </w:tr>
    </w:tbl>
    <w:p w14:paraId="7131BE6D" w14:textId="77777777" w:rsidR="00D81C8B" w:rsidRDefault="00456096">
      <w:pPr>
        <w:ind w:left="317" w:hanging="230"/>
      </w:pPr>
      <w:r>
        <w:t>•  Led faculty meetings and planning for hiring, curriculum, graduate recruitment, and program development.</w:t>
      </w:r>
    </w:p>
    <w:p w14:paraId="1C6359DB" w14:textId="77777777" w:rsidR="00D81C8B" w:rsidRDefault="00456096">
      <w:pPr>
        <w:ind w:left="317" w:hanging="230"/>
      </w:pPr>
      <w:r>
        <w:t>•  Chaired a successful two-position faculty search using holistic recruitment and evaluation practices.</w:t>
      </w:r>
    </w:p>
    <w:p w14:paraId="2A7ADC95" w14:textId="77777777" w:rsidR="00D81C8B" w:rsidRDefault="00456096">
      <w:pPr>
        <w:ind w:left="317" w:hanging="230"/>
      </w:pPr>
      <w:r>
        <w:t>•  Led adoption of holistic graduate admissions policies, contributing to a 25% increase in underrepresented PhD applicants over three years.</w:t>
      </w:r>
    </w:p>
    <w:p w14:paraId="466D188B" w14:textId="77777777" w:rsidR="00D81C8B" w:rsidRDefault="00456096">
      <w:pPr>
        <w:ind w:left="317" w:hanging="230"/>
      </w:pPr>
      <w:r>
        <w:t>•  Formalized master's admissions processes and implemented mentoring contracts and co-mentorship practices to improve graduate training.</w:t>
      </w:r>
    </w:p>
    <w:tbl>
      <w:tblPr>
        <w:tblW w:w="0" w:type="auto"/>
        <w:tblLayout w:type="fixed"/>
        <w:tblLook w:val="04A0" w:firstRow="1" w:lastRow="0" w:firstColumn="1" w:lastColumn="0" w:noHBand="0" w:noVBand="1"/>
      </w:tblPr>
      <w:tblGrid>
        <w:gridCol w:w="5083"/>
        <w:gridCol w:w="5083"/>
      </w:tblGrid>
      <w:tr w:rsidR="00D81C8B" w14:paraId="3B568998" w14:textId="77777777">
        <w:trPr>
          <w:cantSplit/>
        </w:trPr>
        <w:tc>
          <w:tcPr>
            <w:tcW w:w="5083" w:type="dxa"/>
            <w:tcBorders>
              <w:top w:val="nil"/>
              <w:left w:val="nil"/>
              <w:bottom w:val="nil"/>
              <w:right w:val="nil"/>
            </w:tcBorders>
            <w:tcMar>
              <w:top w:w="80" w:type="dxa"/>
              <w:left w:w="0" w:type="dxa"/>
              <w:bottom w:w="20" w:type="dxa"/>
              <w:right w:w="0" w:type="dxa"/>
            </w:tcMar>
          </w:tcPr>
          <w:p w14:paraId="62537339" w14:textId="77777777" w:rsidR="00D81C8B" w:rsidRDefault="00456096">
            <w:pPr>
              <w:spacing w:after="0"/>
            </w:pPr>
            <w:r>
              <w:rPr>
                <w:b/>
                <w:color w:val="8B0A26"/>
                <w:sz w:val="21"/>
              </w:rPr>
              <w:t>Director, BU Tropical Ecology Program / Associate Director, Center for Ecology and Conservation Biology</w:t>
            </w:r>
          </w:p>
        </w:tc>
        <w:tc>
          <w:tcPr>
            <w:tcW w:w="5083" w:type="dxa"/>
            <w:tcBorders>
              <w:top w:val="nil"/>
              <w:left w:val="nil"/>
              <w:bottom w:val="nil"/>
              <w:right w:val="nil"/>
            </w:tcBorders>
            <w:tcMar>
              <w:top w:w="80" w:type="dxa"/>
              <w:left w:w="0" w:type="dxa"/>
              <w:bottom w:w="20" w:type="dxa"/>
              <w:right w:w="0" w:type="dxa"/>
            </w:tcMar>
          </w:tcPr>
          <w:p w14:paraId="36782CAC" w14:textId="77777777" w:rsidR="00D81C8B" w:rsidRDefault="00456096">
            <w:pPr>
              <w:spacing w:after="0"/>
              <w:jc w:val="right"/>
            </w:pPr>
            <w:r>
              <w:rPr>
                <w:i/>
                <w:color w:val="5D5D5D"/>
              </w:rPr>
              <w:t>2017-2021</w:t>
            </w:r>
          </w:p>
        </w:tc>
      </w:tr>
    </w:tbl>
    <w:p w14:paraId="01E94E29" w14:textId="77777777" w:rsidR="00D81C8B" w:rsidRDefault="00456096">
      <w:pPr>
        <w:ind w:left="317" w:hanging="230"/>
      </w:pPr>
      <w:r>
        <w:t>•  Led admissions, enrollment, curriculum, field-based instruction, budgeting, and administration for an experiential undergraduate program in tropical ecology.</w:t>
      </w:r>
    </w:p>
    <w:p w14:paraId="6E682860" w14:textId="77777777" w:rsidR="00D81C8B" w:rsidRDefault="00456096">
      <w:pPr>
        <w:ind w:left="317" w:hanging="230"/>
      </w:pPr>
      <w:r>
        <w:t>•  Enrolled and supervised ten cohorts totaling more than 57 students and partnered with development staff to expand access through fundraising.</w:t>
      </w:r>
    </w:p>
    <w:p w14:paraId="2CE1CE89" w14:textId="77777777" w:rsidR="00D81C8B" w:rsidRDefault="00456096">
      <w:pPr>
        <w:ind w:left="317" w:hanging="230"/>
      </w:pPr>
      <w:r>
        <w:t>•  Designed a one-year master's program concept and led the transition to a financially sustainable Galapagos-focused model during COVID-era disruptions.</w:t>
      </w:r>
    </w:p>
    <w:p w14:paraId="6DBD1823" w14:textId="77777777" w:rsidR="00D81C8B" w:rsidRDefault="00456096">
      <w:pPr>
        <w:keepNext/>
        <w:pBdr>
          <w:bottom w:val="single" w:sz="8" w:space="3" w:color="8B0A26"/>
        </w:pBdr>
        <w:spacing w:before="180" w:after="80"/>
      </w:pPr>
      <w:r>
        <w:rPr>
          <w:b/>
          <w:color w:val="8B0A26"/>
          <w:sz w:val="22"/>
        </w:rPr>
        <w:t>UNIVERSITY-WIDE LEADERSHIP AND GOVERNANCE</w:t>
      </w:r>
    </w:p>
    <w:p w14:paraId="0A53E3AA" w14:textId="77777777" w:rsidR="00D81C8B" w:rsidRDefault="00456096">
      <w:pPr>
        <w:spacing w:after="60"/>
      </w:pPr>
      <w:r>
        <w:rPr>
          <w:b/>
          <w:color w:val="8B0A26"/>
        </w:rPr>
        <w:t xml:space="preserve">Current university leadership. </w:t>
      </w:r>
      <w:r>
        <w:t>Provost's Cabinet; Dean's Council; Provost's Advisory Group; University Leadership Group; University Council; Campus Framework Steering Committee; Convergence Research Task Force; Alternative Academic Leadership Group.</w:t>
      </w:r>
    </w:p>
    <w:p w14:paraId="4F51A847" w14:textId="77777777" w:rsidR="00D81C8B" w:rsidRDefault="00456096">
      <w:pPr>
        <w:spacing w:after="60"/>
      </w:pPr>
      <w:r>
        <w:rPr>
          <w:b/>
          <w:color w:val="8B0A26"/>
        </w:rPr>
        <w:t xml:space="preserve">Selected academic and faculty governance. </w:t>
      </w:r>
      <w:r>
        <w:t>Graduate Academic Program Policy Committee; Graduate Women in Science and Engineering Advisory Board; Faculty Affairs Council; Provost's Research Council; Academic Program Review; CAS STEM Research Ad Hoc Committee.</w:t>
      </w:r>
    </w:p>
    <w:p w14:paraId="0AB19C7D" w14:textId="77777777" w:rsidR="00D81C8B" w:rsidRDefault="00456096">
      <w:pPr>
        <w:keepNext/>
        <w:pBdr>
          <w:bottom w:val="single" w:sz="8" w:space="3" w:color="8B0A26"/>
        </w:pBdr>
        <w:spacing w:before="160" w:after="80"/>
      </w:pPr>
      <w:r>
        <w:rPr>
          <w:b/>
          <w:color w:val="8B0A26"/>
          <w:sz w:val="22"/>
        </w:rPr>
        <w:t>TEACHING, MENTORING, AND STUDENT SUCCESS</w:t>
      </w:r>
    </w:p>
    <w:p w14:paraId="5ACD2214" w14:textId="77777777" w:rsidR="00D81C8B" w:rsidRDefault="00456096">
      <w:pPr>
        <w:spacing w:after="60"/>
      </w:pPr>
      <w:r>
        <w:rPr>
          <w:b/>
          <w:color w:val="8B0A26"/>
        </w:rPr>
        <w:t xml:space="preserve">Teaching and curriculum. </w:t>
      </w:r>
      <w:r>
        <w:t>Nearly two decades of undergraduate and graduate teaching in evolution, genetics, biodiversity, and field ecology at BU, Lehigh, and Maryland. Courses include Evolution, Introductory Biology, Population Genetics, Integrative and Comparative Biology, Principles of Evolution, and advanced seminars. As a CTL Faculty Fellow in Writing in STEM, developed approaches to expand writing-intensive learning in undergraduate STEM courses.</w:t>
      </w:r>
    </w:p>
    <w:p w14:paraId="0AA13BBA" w14:textId="77777777" w:rsidR="00D81C8B" w:rsidRDefault="00456096">
      <w:pPr>
        <w:spacing w:after="60"/>
      </w:pPr>
      <w:r>
        <w:rPr>
          <w:b/>
          <w:color w:val="8B0A26"/>
        </w:rPr>
        <w:t xml:space="preserve">Mentoring and advising. </w:t>
      </w:r>
      <w:r>
        <w:t>Advised postdoctoral scholars, graduate students, and undergraduate researchers who continued to faculty positions, doctoral and professional programs, industry, government, and research careers. Served as an undergraduate advisor at BU and Lehigh and developed mentoring contracts and co-mentorship practices.</w:t>
      </w:r>
    </w:p>
    <w:p w14:paraId="667CF59B" w14:textId="77777777" w:rsidR="00D81C8B" w:rsidRDefault="00456096">
      <w:pPr>
        <w:keepNext/>
        <w:pBdr>
          <w:bottom w:val="single" w:sz="8" w:space="3" w:color="8B0A26"/>
        </w:pBdr>
        <w:spacing w:before="160" w:after="80"/>
      </w:pPr>
      <w:r>
        <w:rPr>
          <w:b/>
          <w:color w:val="8B0A26"/>
          <w:sz w:val="22"/>
        </w:rPr>
        <w:t>RESEARCH AND SCHOLARSHIP</w:t>
      </w:r>
    </w:p>
    <w:p w14:paraId="62E72D7F" w14:textId="77777777" w:rsidR="00D81C8B" w:rsidRDefault="00456096">
      <w:pPr>
        <w:keepLines/>
        <w:spacing w:after="80"/>
      </w:pPr>
      <w:r>
        <w:t>My research examines the origin and maintenance of biological diversity, linking genetic and developmental mechanisms of adaptive color variation with ecological and macroevolutionary processes that shape diversity above the species level. I use comparative genomics, developmental and population genetics, phylogenetics, and field evolutionary ecology to study mimicry, adaptation, speciation, and biodiversity. Supported by the National Science Foundation and other federal and foundation sources, this work has appeared in Nature, Nature Communications, Cell Reports, Annual Review of Entomology, Proceedings of the Royal Society B, and Molecular Biology and Evolution.</w:t>
      </w:r>
    </w:p>
    <w:p w14:paraId="59C95A72" w14:textId="77777777" w:rsidR="00D81C8B" w:rsidRDefault="00456096">
      <w:pPr>
        <w:keepNext/>
        <w:spacing w:before="60"/>
      </w:pPr>
      <w:r>
        <w:rPr>
          <w:b/>
          <w:color w:val="8B0A26"/>
        </w:rPr>
        <w:t>Selected Research Funding</w:t>
      </w:r>
    </w:p>
    <w:p w14:paraId="1C9FA42E" w14:textId="77777777" w:rsidR="00D81C8B" w:rsidRDefault="00456096">
      <w:pPr>
        <w:spacing w:after="20"/>
        <w:ind w:left="317" w:hanging="230"/>
      </w:pPr>
      <w:r>
        <w:t>•  National Science Foundation, Evolutionary Processes, PI of BU component; collaborative project total $1,515,490; BU component $715,834, 2023-2027. Cis-regulatory architecture of color pattern convergence.</w:t>
      </w:r>
    </w:p>
    <w:p w14:paraId="336A273E" w14:textId="77777777" w:rsidR="00D81C8B" w:rsidRDefault="00456096">
      <w:pPr>
        <w:spacing w:after="20"/>
        <w:ind w:left="317" w:hanging="230"/>
      </w:pPr>
      <w:r>
        <w:t>•  National Science Foundation, Evolutionary Processes, PI, $844,195, 2020-2025. Density-dependent dynamics and the efficacy of mimetic signaling.</w:t>
      </w:r>
    </w:p>
    <w:p w14:paraId="0A7047A6" w14:textId="77777777" w:rsidR="00D81C8B" w:rsidRDefault="00456096">
      <w:pPr>
        <w:spacing w:after="20"/>
        <w:ind w:left="317" w:hanging="230"/>
      </w:pPr>
      <w:r>
        <w:t>•  National Science Foundation, Dimensions in Biodiversity, PI of BU component; collaborative project total $1,988,908; BU component $573,985, 2014-2018.</w:t>
      </w:r>
    </w:p>
    <w:p w14:paraId="107961C8" w14:textId="77777777" w:rsidR="00D81C8B" w:rsidRDefault="00456096">
      <w:pPr>
        <w:spacing w:after="20"/>
        <w:ind w:left="317" w:hanging="230"/>
      </w:pPr>
      <w:r>
        <w:t>•  National Science Foundation, Evolutionary Processes, PI of BU component; collaborative project total $986,722; BU component $471,760, 2010-2013.</w:t>
      </w:r>
    </w:p>
    <w:p w14:paraId="1BA8EB28" w14:textId="77777777" w:rsidR="00D81C8B" w:rsidRDefault="00456096">
      <w:pPr>
        <w:spacing w:after="20"/>
        <w:ind w:left="317" w:hanging="230"/>
      </w:pPr>
      <w:r>
        <w:t>•  National Science Foundation, EAGER, co-PI, $299,749, 2017-2019. The evolving genomic architecture of speciation.</w:t>
      </w:r>
    </w:p>
    <w:p w14:paraId="3A522B88" w14:textId="77777777" w:rsidR="00D81C8B" w:rsidRDefault="00456096">
      <w:pPr>
        <w:keepNext/>
        <w:spacing w:before="100"/>
      </w:pPr>
      <w:r>
        <w:rPr>
          <w:b/>
          <w:color w:val="8B0A26"/>
        </w:rPr>
        <w:t>Selected Publications</w:t>
      </w:r>
    </w:p>
    <w:p w14:paraId="7D5CDD9D" w14:textId="77777777" w:rsidR="00D81C8B" w:rsidRDefault="00456096">
      <w:pPr>
        <w:spacing w:after="30"/>
        <w:ind w:left="259" w:hanging="259"/>
      </w:pPr>
      <w:r>
        <w:t>1. Robinson, A.E., et al., including Mullen, S.P. 2025. Is temporal synchrony necessary for effective Batesian mimicry? Proceedings of the Royal Society B 292:20241737.</w:t>
      </w:r>
    </w:p>
    <w:p w14:paraId="6EAECEBD" w14:textId="77777777" w:rsidR="00D81C8B" w:rsidRDefault="00456096">
      <w:pPr>
        <w:spacing w:after="30"/>
        <w:ind w:left="259" w:hanging="259"/>
      </w:pPr>
      <w:r>
        <w:t>2. Novick, I., et al., including Mullen, S.P. 2025. Ultraconserved elements reveal the relationship between facultative keratinophagy and synanthropic evolution in clothes moths. Molecular Ecology 34:e17799.</w:t>
      </w:r>
    </w:p>
    <w:p w14:paraId="433E087E" w14:textId="77777777" w:rsidR="00D81C8B" w:rsidRDefault="00456096">
      <w:pPr>
        <w:spacing w:after="30"/>
        <w:ind w:left="259" w:hanging="259"/>
      </w:pPr>
      <w:r>
        <w:t>3. Robinson, A.E., Herrmann, J., Aichelman, H.E., &amp; Mullen, S.P. 2025. Citizen science supports ecological predictions of phenology in North American mimetic butterflies. Biological Journal of the Linnean Society 146:blaf068.</w:t>
      </w:r>
    </w:p>
    <w:p w14:paraId="3DD8AFE7" w14:textId="77777777" w:rsidR="00D81C8B" w:rsidRDefault="00456096">
      <w:pPr>
        <w:spacing w:after="30"/>
        <w:ind w:left="259" w:hanging="259"/>
      </w:pPr>
      <w:r>
        <w:t>4. Chazot, N., et al., including Mullen, S.P. 2021. Conserved ancestral tropical niche but different continental histories explain the latitudinal diversity gradient in brush-footed butterflies. Nature Communications 12:5717.</w:t>
      </w:r>
    </w:p>
    <w:p w14:paraId="3CE0FA80" w14:textId="77777777" w:rsidR="00D81C8B" w:rsidRDefault="00456096">
      <w:pPr>
        <w:spacing w:after="30"/>
        <w:ind w:left="259" w:hanging="259"/>
      </w:pPr>
      <w:r>
        <w:t>5. Mullen, S.P., et al. 2020. Disentangling population history and character evolution among hybridizing lineages. Molecular Biology and Evolution 37:1295-1305.</w:t>
      </w:r>
    </w:p>
    <w:p w14:paraId="1DF6C237" w14:textId="77777777" w:rsidR="00D81C8B" w:rsidRDefault="00456096">
      <w:pPr>
        <w:spacing w:after="30"/>
        <w:ind w:left="259" w:hanging="259"/>
      </w:pPr>
      <w:r>
        <w:t>6. Semenov, G.A., et al., including Mullen, S.P. 2019. Unifying theoretical and empirical perspectives on genomic differentiation. Trends in Ecology &amp; Evolution 34:987-995.</w:t>
      </w:r>
    </w:p>
    <w:p w14:paraId="1E8576EC" w14:textId="77777777" w:rsidR="00D81C8B" w:rsidRDefault="00456096">
      <w:pPr>
        <w:spacing w:after="30"/>
        <w:ind w:left="259" w:hanging="259"/>
      </w:pPr>
      <w:r>
        <w:t>7. Finkbeiner, S.D., et al., including Mullen, S.P. 2018. Frequency-dependence shapes the adaptive landscape of imperfect Batesian mimicry. Proceedings of the Royal Society B 285:20172786.</w:t>
      </w:r>
    </w:p>
    <w:p w14:paraId="01300565" w14:textId="77777777" w:rsidR="00D81C8B" w:rsidRDefault="00456096">
      <w:pPr>
        <w:spacing w:after="30"/>
        <w:ind w:left="259" w:hanging="259"/>
      </w:pPr>
      <w:r>
        <w:t>8. Kunte, K., et al., including Mullen, S.P. 2014. doublesex is a mimicry supergene. Nature 507:229-232.</w:t>
      </w:r>
    </w:p>
    <w:p w14:paraId="2A4B9603" w14:textId="77777777" w:rsidR="00D81C8B" w:rsidRDefault="00456096">
      <w:pPr>
        <w:spacing w:after="30"/>
        <w:ind w:left="259" w:hanging="259"/>
      </w:pPr>
      <w:r>
        <w:t>9. Gallant, J.R., et al., including Mullen, S.P. 2014. Ancient homology underlies adaptive mimetic diversity across butterflies. Nature Communications 5:4817.</w:t>
      </w:r>
    </w:p>
    <w:p w14:paraId="30C6ABE9" w14:textId="77777777" w:rsidR="00D81C8B" w:rsidRDefault="00456096">
      <w:pPr>
        <w:spacing w:after="30"/>
        <w:ind w:left="259" w:hanging="259"/>
      </w:pPr>
      <w:r>
        <w:t>10. The Heliconius Genome Consortium. 2012. Butterfly genome reveals promiscuous exchange of mimicry adaptations among species. Nature 487:94-98.</w:t>
      </w:r>
    </w:p>
    <w:p w14:paraId="50BDDF2D" w14:textId="77777777" w:rsidR="00D81C8B" w:rsidRDefault="00456096">
      <w:pPr>
        <w:spacing w:after="60"/>
      </w:pPr>
      <w:r>
        <w:rPr>
          <w:i/>
          <w:color w:val="5D5D5D"/>
        </w:rPr>
        <w:t>Full publication list available on Google Scholar and on request.</w:t>
      </w:r>
    </w:p>
    <w:p w14:paraId="1F279528" w14:textId="77777777" w:rsidR="00D81C8B" w:rsidRDefault="00456096">
      <w:pPr>
        <w:keepNext/>
        <w:pBdr>
          <w:bottom w:val="single" w:sz="8" w:space="3" w:color="8B0A26"/>
        </w:pBdr>
        <w:spacing w:before="160" w:after="80"/>
      </w:pPr>
      <w:r>
        <w:rPr>
          <w:b/>
          <w:color w:val="8B0A26"/>
          <w:sz w:val="22"/>
        </w:rPr>
        <w:t>SELECTED HONORS, INVITED PRESENTATIONS, AND SERVICE</w:t>
      </w:r>
    </w:p>
    <w:tbl>
      <w:tblPr>
        <w:tblW w:w="0" w:type="auto"/>
        <w:tblLayout w:type="fixed"/>
        <w:tblLook w:val="04A0" w:firstRow="1" w:lastRow="0" w:firstColumn="1" w:lastColumn="0" w:noHBand="0" w:noVBand="1"/>
      </w:tblPr>
      <w:tblGrid>
        <w:gridCol w:w="5083"/>
        <w:gridCol w:w="5083"/>
      </w:tblGrid>
      <w:tr w:rsidR="00D81C8B" w14:paraId="34C6423C" w14:textId="77777777">
        <w:trPr>
          <w:cantSplit/>
        </w:trPr>
        <w:tc>
          <w:tcPr>
            <w:tcW w:w="5083" w:type="dxa"/>
            <w:tcBorders>
              <w:top w:val="single" w:sz="5" w:space="0" w:color="B7B7B7"/>
              <w:left w:val="single" w:sz="5" w:space="0" w:color="B7B7B7"/>
              <w:bottom w:val="single" w:sz="5" w:space="0" w:color="B7B7B7"/>
              <w:right w:val="single" w:sz="5" w:space="0" w:color="B7B7B7"/>
            </w:tcBorders>
            <w:shd w:val="clear" w:color="auto" w:fill="F1F1F1"/>
            <w:tcMar>
              <w:top w:w="70" w:type="dxa"/>
              <w:left w:w="95" w:type="dxa"/>
              <w:bottom w:w="70" w:type="dxa"/>
              <w:right w:w="95" w:type="dxa"/>
            </w:tcMar>
          </w:tcPr>
          <w:p w14:paraId="4C91EC8F" w14:textId="77777777" w:rsidR="00D81C8B" w:rsidRDefault="00456096">
            <w:pPr>
              <w:spacing w:after="0"/>
            </w:pPr>
            <w:r>
              <w:rPr>
                <w:b/>
                <w:color w:val="8B0A26"/>
              </w:rPr>
              <w:t xml:space="preserve">Honors and awards. </w:t>
            </w:r>
            <w:r>
              <w:t>Metcalf Award nominee (2021); Inclusion Catalyst Award (2020); CTL STEM Writing Fellow (2019); NIH/NIMH NRSA Postdoctoral Fellow (2006); NSF Doctoral Dissertation Improvement Grant (2004).</w:t>
            </w:r>
          </w:p>
          <w:p w14:paraId="152CF94D" w14:textId="77777777" w:rsidR="00D81C8B" w:rsidRDefault="00456096">
            <w:pPr>
              <w:spacing w:before="40" w:after="0"/>
            </w:pPr>
            <w:r>
              <w:rPr>
                <w:b/>
                <w:color w:val="8B0A26"/>
              </w:rPr>
              <w:t xml:space="preserve">Professional and editorial service. </w:t>
            </w:r>
            <w:r>
              <w:t>Society for the Study of Evolution Diversity Committee; Associate Editor, Journal of Heredity; Council Member, American Genetics Association; NSF and international proposal reviewer.</w:t>
            </w:r>
          </w:p>
        </w:tc>
        <w:tc>
          <w:tcPr>
            <w:tcW w:w="5083" w:type="dxa"/>
            <w:tcBorders>
              <w:top w:val="single" w:sz="5" w:space="0" w:color="B7B7B7"/>
              <w:left w:val="single" w:sz="5" w:space="0" w:color="B7B7B7"/>
              <w:bottom w:val="single" w:sz="5" w:space="0" w:color="B7B7B7"/>
              <w:right w:val="single" w:sz="5" w:space="0" w:color="B7B7B7"/>
            </w:tcBorders>
            <w:shd w:val="clear" w:color="auto" w:fill="F1F1F1"/>
            <w:tcMar>
              <w:top w:w="70" w:type="dxa"/>
              <w:left w:w="95" w:type="dxa"/>
              <w:bottom w:w="70" w:type="dxa"/>
              <w:right w:w="95" w:type="dxa"/>
            </w:tcMar>
          </w:tcPr>
          <w:p w14:paraId="7964C028" w14:textId="77777777" w:rsidR="00083576" w:rsidRDefault="00381475">
            <w:r>
              <w:rPr>
                <w:b/>
                <w:color w:val="8B0A26"/>
              </w:rPr>
              <w:t xml:space="preserve">Selected invited presentations. </w:t>
            </w:r>
            <w:r>
              <w:t>Clemson, Cornell, Stonehill, Michigan State, Harvard, Chicago, Bowdoin, and Tufts; invited symposia at the Gordon Research Conference, American Society of Naturalists, American Genetics Association, and Harvard Radcliffe Institute.</w:t>
            </w:r>
          </w:p>
          <w:p w14:paraId="292CBFC9" w14:textId="77777777" w:rsidR="00083576" w:rsidRDefault="00381475">
            <w:r>
              <w:rPr>
                <w:b/>
                <w:color w:val="8B0A26"/>
              </w:rPr>
              <w:t xml:space="preserve">Civic and educational engagement. </w:t>
            </w:r>
            <w:r>
              <w:t>Easton School Committee member; Holliston Public Schools Equity Steering Committee; co-organizer and instructor, annual James Verde Evolution Workshop for Rhode Island K-12 teachers.</w:t>
            </w:r>
          </w:p>
        </w:tc>
      </w:tr>
    </w:tbl>
    <w:p w14:paraId="34E7C4D3" w14:textId="77777777" w:rsidR="00372B1D" w:rsidRDefault="00372B1D"/>
    <w:sectPr w:rsidR="00372B1D" w:rsidSect="00034616">
      <w:headerReference w:type="default" r:id="rId8"/>
      <w:footerReference w:type="default" r:id="rId9"/>
      <w:pgSz w:w="12240" w:h="15840"/>
      <w:pgMar w:top="979" w:right="1037" w:bottom="936" w:left="1037"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FC7ADA" w14:textId="77777777" w:rsidR="000C70B7" w:rsidRDefault="000C70B7">
      <w:pPr>
        <w:spacing w:after="0"/>
      </w:pPr>
      <w:r>
        <w:separator/>
      </w:r>
    </w:p>
  </w:endnote>
  <w:endnote w:type="continuationSeparator" w:id="0">
    <w:p w14:paraId="43C03029" w14:textId="77777777" w:rsidR="000C70B7" w:rsidRDefault="000C7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4A8F1" w14:textId="77777777" w:rsidR="00D81C8B" w:rsidRDefault="00456096">
    <w:pPr>
      <w:pStyle w:val="Footer"/>
      <w:jc w:val="center"/>
    </w:pPr>
    <w:r>
      <w:rPr>
        <w:color w:val="777777"/>
        <w:sz w:val="16"/>
      </w:rPr>
      <w:t xml:space="preserve">Sean P. Mullen | Leadership CV | </w:t>
    </w:r>
    <w:r>
      <w:rPr>
        <w:color w:val="777777"/>
        <w:sz w:val="16"/>
      </w:rPr>
      <w:fldChar w:fldCharType="begin"/>
    </w:r>
    <w:r>
      <w:rPr>
        <w:color w:val="777777"/>
        <w:sz w:val="16"/>
      </w:rPr>
      <w:instrText>PAGE</w:instrText>
    </w:r>
    <w:r>
      <w:rPr>
        <w:color w:val="777777"/>
        <w:sz w:val="16"/>
      </w:rPr>
      <w:fldChar w:fldCharType="separate"/>
    </w:r>
    <w:r w:rsidR="00EE03B8">
      <w:rPr>
        <w:noProof/>
        <w:color w:val="777777"/>
        <w:sz w:val="16"/>
      </w:rPr>
      <w:t>1</w:t>
    </w:r>
    <w:r>
      <w:rPr>
        <w:color w:val="777777"/>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A98956" w14:textId="77777777" w:rsidR="000C70B7" w:rsidRDefault="000C70B7">
      <w:pPr>
        <w:spacing w:after="0"/>
      </w:pPr>
      <w:r>
        <w:separator/>
      </w:r>
    </w:p>
  </w:footnote>
  <w:footnote w:type="continuationSeparator" w:id="0">
    <w:p w14:paraId="6A33F243" w14:textId="77777777" w:rsidR="000C70B7" w:rsidRDefault="000C7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464BCB" w14:textId="77777777" w:rsidR="00D81C8B" w:rsidRDefault="00D81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6271354">
    <w:abstractNumId w:val="8"/>
  </w:num>
  <w:num w:numId="2" w16cid:durableId="326859128">
    <w:abstractNumId w:val="6"/>
  </w:num>
  <w:num w:numId="3" w16cid:durableId="62459753">
    <w:abstractNumId w:val="5"/>
  </w:num>
  <w:num w:numId="4" w16cid:durableId="833689946">
    <w:abstractNumId w:val="4"/>
  </w:num>
  <w:num w:numId="5" w16cid:durableId="482427258">
    <w:abstractNumId w:val="7"/>
  </w:num>
  <w:num w:numId="6" w16cid:durableId="795177274">
    <w:abstractNumId w:val="3"/>
  </w:num>
  <w:num w:numId="7" w16cid:durableId="1695305464">
    <w:abstractNumId w:val="2"/>
  </w:num>
  <w:num w:numId="8" w16cid:durableId="1163551629">
    <w:abstractNumId w:val="1"/>
  </w:num>
  <w:num w:numId="9" w16cid:durableId="16047299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576"/>
    <w:rsid w:val="000C70B7"/>
    <w:rsid w:val="0015074B"/>
    <w:rsid w:val="001A79F2"/>
    <w:rsid w:val="0029639D"/>
    <w:rsid w:val="002D1E04"/>
    <w:rsid w:val="00326F90"/>
    <w:rsid w:val="00372B1D"/>
    <w:rsid w:val="00381475"/>
    <w:rsid w:val="003A5281"/>
    <w:rsid w:val="003B6E09"/>
    <w:rsid w:val="003C56D7"/>
    <w:rsid w:val="00456096"/>
    <w:rsid w:val="004667D6"/>
    <w:rsid w:val="00AA1D8D"/>
    <w:rsid w:val="00B47730"/>
    <w:rsid w:val="00CA7F12"/>
    <w:rsid w:val="00CB0664"/>
    <w:rsid w:val="00D81C8B"/>
    <w:rsid w:val="00EE03B8"/>
    <w:rsid w:val="00FA58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874EB"/>
  <w14:defaultImageDpi w14:val="300"/>
  <w15:docId w15:val="{D379B179-F572-3440-8ADE-6499516C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rial" w:hAnsi="Arial"/>
      <w:color w:val="2B2B2B"/>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2983</Words>
  <Characters>17008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Sean P. Mullen Leadership CV - Tufts Provost Search</dc:title>
  <dc:subject>Academic leadership curriculum vitae</dc:subject>
  <dc:creator>Sean P. Mullen</dc:creator>
  <cp:keywords>provost, academic leadership, graduate education, faculty affairs, research, enrollment</cp:keywords>
  <dc:description>generated by python-docx</dc:description>
  <cp:lastModifiedBy>Mullen, Sean</cp:lastModifiedBy>
  <cp:revision>2</cp:revision>
  <dcterms:created xsi:type="dcterms:W3CDTF">2026-07-29T19:03:00Z</dcterms:created>
  <dcterms:modified xsi:type="dcterms:W3CDTF">2026-07-29T19:03:00Z</dcterms:modified>
  <cp:category/>
</cp:coreProperties>
</file>